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20AA" w14:textId="4C226EDB" w:rsidR="004F0B1B" w:rsidRDefault="0092320C" w:rsidP="006E3DFD">
      <w:pPr>
        <w:pStyle w:val="1"/>
        <w:kinsoku w:val="0"/>
        <w:overflowPunct w:val="0"/>
        <w:spacing w:line="399" w:lineRule="exact"/>
        <w:ind w:left="0"/>
        <w:jc w:val="center"/>
        <w:rPr>
          <w:color w:val="C00000"/>
        </w:rPr>
      </w:pPr>
      <w:r w:rsidRPr="0092320C">
        <w:rPr>
          <w:rFonts w:hint="eastAsia"/>
          <w:color w:val="C00000"/>
        </w:rPr>
        <w:t>公募</w:t>
      </w:r>
      <w:r w:rsidRPr="0092320C">
        <w:rPr>
          <w:color w:val="C00000"/>
        </w:rPr>
        <w:t>REITs</w:t>
      </w:r>
      <w:r w:rsidRPr="0092320C">
        <w:rPr>
          <w:rFonts w:hint="eastAsia"/>
          <w:color w:val="C00000"/>
        </w:rPr>
        <w:t>基金认购</w:t>
      </w:r>
      <w:r w:rsidR="00172144">
        <w:rPr>
          <w:rFonts w:hint="eastAsia"/>
          <w:color w:val="C00000"/>
        </w:rPr>
        <w:t>单</w:t>
      </w:r>
      <w:r w:rsidR="006E3DFD">
        <w:rPr>
          <w:rFonts w:hint="eastAsia"/>
          <w:color w:val="C00000"/>
        </w:rPr>
        <w:t>（</w:t>
      </w:r>
      <w:r w:rsidR="00D01D58">
        <w:rPr>
          <w:rFonts w:hint="eastAsia"/>
          <w:color w:val="C00000"/>
        </w:rPr>
        <w:t>自然人</w:t>
      </w:r>
      <w:r>
        <w:rPr>
          <w:rFonts w:hint="eastAsia"/>
          <w:color w:val="C00000"/>
        </w:rPr>
        <w:t>适用</w:t>
      </w:r>
      <w:r w:rsidR="004F0B1B">
        <w:rPr>
          <w:rFonts w:hint="eastAsia"/>
          <w:color w:val="C00000"/>
        </w:rPr>
        <w:t>）</w:t>
      </w:r>
    </w:p>
    <w:p w14:paraId="32F8E00B" w14:textId="7A5CD3AF" w:rsidR="004F0B1B" w:rsidRPr="00A907DE" w:rsidRDefault="004F0B1B" w:rsidP="001C0659">
      <w:pPr>
        <w:pStyle w:val="a3"/>
        <w:kinsoku w:val="0"/>
        <w:overflowPunct w:val="0"/>
        <w:spacing w:after="24" w:line="219" w:lineRule="exact"/>
        <w:ind w:left="0" w:right="0" w:firstLineChars="100" w:firstLine="160"/>
        <w:jc w:val="left"/>
        <w:rPr>
          <w:sz w:val="16"/>
          <w:szCs w:val="16"/>
        </w:rPr>
      </w:pPr>
      <w:r w:rsidRPr="00A907DE">
        <w:rPr>
          <w:rFonts w:hint="eastAsia"/>
          <w:sz w:val="16"/>
          <w:szCs w:val="16"/>
        </w:rPr>
        <w:t>华夏基金提醒您：在填写本表</w:t>
      </w:r>
      <w:r w:rsidR="00172144">
        <w:rPr>
          <w:rFonts w:hint="eastAsia"/>
          <w:sz w:val="16"/>
          <w:szCs w:val="16"/>
        </w:rPr>
        <w:t>单</w:t>
      </w:r>
      <w:r w:rsidRPr="00A907DE">
        <w:rPr>
          <w:rFonts w:hint="eastAsia"/>
          <w:sz w:val="16"/>
          <w:szCs w:val="16"/>
        </w:rPr>
        <w:t>前，请详细阅读本公司所管理的《基金合同》、最新招募说明书及</w:t>
      </w:r>
      <w:r w:rsidR="001C0659" w:rsidRPr="00A907DE">
        <w:rPr>
          <w:rFonts w:hint="eastAsia"/>
          <w:sz w:val="16"/>
          <w:szCs w:val="16"/>
        </w:rPr>
        <w:t>风险告知函</w:t>
      </w:r>
      <w:r w:rsidRPr="00A907DE">
        <w:rPr>
          <w:rFonts w:hint="eastAsia"/>
          <w:sz w:val="16"/>
          <w:szCs w:val="16"/>
        </w:rPr>
        <w:t>条款。</w:t>
      </w:r>
      <w:r w:rsidR="00A907DE" w:rsidRPr="00A907DE">
        <w:rPr>
          <w:rFonts w:hint="eastAsia"/>
          <w:sz w:val="16"/>
          <w:szCs w:val="16"/>
        </w:rPr>
        <w:t>以下标</w:t>
      </w:r>
      <w:r w:rsidR="00A907DE" w:rsidRPr="00A907DE">
        <w:rPr>
          <w:sz w:val="16"/>
          <w:szCs w:val="16"/>
        </w:rPr>
        <w:t>*</w:t>
      </w:r>
      <w:r w:rsidR="00A907DE" w:rsidRPr="00A907DE">
        <w:rPr>
          <w:rFonts w:hint="eastAsia"/>
          <w:sz w:val="16"/>
          <w:szCs w:val="16"/>
        </w:rPr>
        <w:t>为必填项</w:t>
      </w:r>
      <w:r w:rsidR="00152201">
        <w:rPr>
          <w:rFonts w:hint="eastAsia"/>
          <w:sz w:val="16"/>
          <w:szCs w:val="16"/>
        </w:rPr>
        <w:t>。</w:t>
      </w:r>
    </w:p>
    <w:tbl>
      <w:tblPr>
        <w:tblW w:w="94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71"/>
        <w:gridCol w:w="1238"/>
        <w:gridCol w:w="612"/>
        <w:gridCol w:w="631"/>
        <w:gridCol w:w="348"/>
        <w:gridCol w:w="283"/>
        <w:gridCol w:w="631"/>
        <w:gridCol w:w="88"/>
        <w:gridCol w:w="543"/>
        <w:gridCol w:w="127"/>
        <w:gridCol w:w="504"/>
        <w:gridCol w:w="632"/>
        <w:gridCol w:w="278"/>
        <w:gridCol w:w="146"/>
        <w:gridCol w:w="207"/>
        <w:gridCol w:w="631"/>
        <w:gridCol w:w="296"/>
        <w:gridCol w:w="335"/>
        <w:gridCol w:w="631"/>
        <w:gridCol w:w="632"/>
      </w:tblGrid>
      <w:tr w:rsidR="00ED6ED0" w:rsidRPr="00F310AC" w14:paraId="3D3A2A60" w14:textId="77777777" w:rsidTr="00ED6ED0">
        <w:trPr>
          <w:trHeight w:val="371"/>
          <w:jc w:val="center"/>
        </w:trPr>
        <w:tc>
          <w:tcPr>
            <w:tcW w:w="671" w:type="dxa"/>
            <w:vMerge w:val="restart"/>
            <w:vAlign w:val="center"/>
          </w:tcPr>
          <w:p w14:paraId="10B7C803" w14:textId="77777777" w:rsidR="00ED6ED0" w:rsidRPr="007A052C" w:rsidRDefault="00ED6ED0" w:rsidP="00FE0803">
            <w:pPr>
              <w:pStyle w:val="TableParagraph"/>
              <w:kinsoku w:val="0"/>
              <w:overflowPunct w:val="0"/>
              <w:spacing w:line="750" w:lineRule="atLeast"/>
              <w:ind w:left="222" w:right="182"/>
              <w:jc w:val="both"/>
              <w:rPr>
                <w:rFonts w:hAnsi="宋体"/>
                <w:sz w:val="22"/>
                <w:szCs w:val="20"/>
              </w:rPr>
            </w:pPr>
            <w:r w:rsidRPr="007A052C">
              <w:rPr>
                <w:rFonts w:hAnsi="宋体" w:hint="eastAsia"/>
                <w:sz w:val="22"/>
                <w:szCs w:val="20"/>
              </w:rPr>
              <w:t>基本信息</w:t>
            </w:r>
          </w:p>
        </w:tc>
        <w:tc>
          <w:tcPr>
            <w:tcW w:w="1238" w:type="dxa"/>
            <w:vAlign w:val="center"/>
          </w:tcPr>
          <w:p w14:paraId="7580CF89" w14:textId="77777777" w:rsidR="00ED6ED0" w:rsidRPr="00F310AC" w:rsidRDefault="00ED6ED0" w:rsidP="00D140D9">
            <w:pPr>
              <w:pStyle w:val="TableParagraph"/>
              <w:kinsoku w:val="0"/>
              <w:overflowPunct w:val="0"/>
              <w:spacing w:before="51"/>
              <w:jc w:val="center"/>
              <w:rPr>
                <w:rFonts w:hAnsi="宋体"/>
                <w:sz w:val="18"/>
                <w:szCs w:val="20"/>
              </w:rPr>
            </w:pPr>
            <w:r>
              <w:rPr>
                <w:rFonts w:hAnsi="宋体"/>
                <w:sz w:val="18"/>
                <w:szCs w:val="20"/>
              </w:rPr>
              <w:t>*</w:t>
            </w:r>
            <w:r>
              <w:rPr>
                <w:rFonts w:hAnsi="宋体" w:hint="eastAsia"/>
                <w:sz w:val="18"/>
                <w:szCs w:val="20"/>
              </w:rPr>
              <w:t>姓名</w:t>
            </w:r>
          </w:p>
        </w:tc>
        <w:tc>
          <w:tcPr>
            <w:tcW w:w="7555" w:type="dxa"/>
            <w:gridSpan w:val="18"/>
            <w:vAlign w:val="center"/>
          </w:tcPr>
          <w:p w14:paraId="69A6C0AA" w14:textId="77777777" w:rsidR="00ED6ED0" w:rsidRPr="00F310AC" w:rsidRDefault="00ED6ED0" w:rsidP="00D140D9">
            <w:pPr>
              <w:pStyle w:val="TableParagraph"/>
              <w:kinsoku w:val="0"/>
              <w:overflowPunct w:val="0"/>
              <w:jc w:val="center"/>
              <w:rPr>
                <w:rFonts w:hAnsi="宋体" w:cs="Times New Roman"/>
                <w:sz w:val="18"/>
                <w:szCs w:val="20"/>
              </w:rPr>
            </w:pPr>
          </w:p>
        </w:tc>
      </w:tr>
      <w:tr w:rsidR="00ED6ED0" w:rsidRPr="00F310AC" w14:paraId="71437DA7" w14:textId="77777777" w:rsidTr="00ED6ED0">
        <w:trPr>
          <w:trHeight w:val="356"/>
          <w:jc w:val="center"/>
        </w:trPr>
        <w:tc>
          <w:tcPr>
            <w:tcW w:w="671" w:type="dxa"/>
            <w:vMerge/>
          </w:tcPr>
          <w:p w14:paraId="7B787EEF" w14:textId="77777777" w:rsidR="00ED6ED0" w:rsidRPr="007A052C" w:rsidRDefault="00ED6ED0" w:rsidP="008D1E16">
            <w:pPr>
              <w:pStyle w:val="TableParagraph"/>
              <w:kinsoku w:val="0"/>
              <w:overflowPunct w:val="0"/>
              <w:spacing w:line="331" w:lineRule="auto"/>
              <w:ind w:left="222" w:right="182"/>
              <w:jc w:val="both"/>
              <w:rPr>
                <w:rFonts w:hAnsi="宋体"/>
                <w:szCs w:val="20"/>
              </w:rPr>
            </w:pPr>
          </w:p>
        </w:tc>
        <w:tc>
          <w:tcPr>
            <w:tcW w:w="1238" w:type="dxa"/>
            <w:vAlign w:val="center"/>
          </w:tcPr>
          <w:p w14:paraId="58AAA3C3" w14:textId="77777777" w:rsidR="00ED6ED0" w:rsidRPr="00F310AC" w:rsidRDefault="00ED6ED0" w:rsidP="00D140D9">
            <w:pPr>
              <w:pStyle w:val="TableParagraph"/>
              <w:kinsoku w:val="0"/>
              <w:overflowPunct w:val="0"/>
              <w:spacing w:before="43"/>
              <w:jc w:val="center"/>
              <w:rPr>
                <w:rFonts w:hAnsi="宋体"/>
                <w:sz w:val="18"/>
                <w:szCs w:val="20"/>
              </w:rPr>
            </w:pPr>
            <w:r>
              <w:rPr>
                <w:rFonts w:hAnsi="宋体"/>
                <w:sz w:val="18"/>
                <w:szCs w:val="20"/>
              </w:rPr>
              <w:t>*</w:t>
            </w:r>
            <w:r w:rsidRPr="00F310AC">
              <w:rPr>
                <w:rFonts w:hAnsi="宋体" w:hint="eastAsia"/>
                <w:sz w:val="18"/>
                <w:szCs w:val="20"/>
              </w:rPr>
              <w:t>证件类型</w:t>
            </w:r>
          </w:p>
        </w:tc>
        <w:tc>
          <w:tcPr>
            <w:tcW w:w="7555" w:type="dxa"/>
            <w:gridSpan w:val="18"/>
            <w:vAlign w:val="center"/>
          </w:tcPr>
          <w:p w14:paraId="2559634E" w14:textId="77777777" w:rsidR="00ED6ED0" w:rsidRPr="00F310AC" w:rsidRDefault="00ED6ED0" w:rsidP="00D01D58">
            <w:pPr>
              <w:pStyle w:val="TableParagraph"/>
              <w:kinsoku w:val="0"/>
              <w:overflowPunct w:val="0"/>
              <w:ind w:firstLineChars="100" w:firstLine="180"/>
              <w:rPr>
                <w:rFonts w:hAnsi="宋体" w:cs="Times New Roman"/>
                <w:sz w:val="18"/>
                <w:szCs w:val="20"/>
              </w:rPr>
            </w:pPr>
            <w:r w:rsidRPr="00985D47">
              <w:rPr>
                <w:rFonts w:hAnsi="宋体" w:cs="Times New Roman" w:hint="eastAsia"/>
                <w:sz w:val="18"/>
                <w:szCs w:val="20"/>
              </w:rPr>
              <w:t>□</w:t>
            </w:r>
            <w:r>
              <w:rPr>
                <w:rFonts w:hAnsi="宋体" w:cs="Times New Roman" w:hint="eastAsia"/>
                <w:sz w:val="18"/>
                <w:szCs w:val="20"/>
              </w:rPr>
              <w:t>身份证</w:t>
            </w:r>
            <w:r w:rsidRPr="00985D47">
              <w:rPr>
                <w:rFonts w:hAnsi="宋体" w:cs="Times New Roman"/>
                <w:sz w:val="18"/>
                <w:szCs w:val="20"/>
              </w:rPr>
              <w:t xml:space="preserve"> </w:t>
            </w:r>
            <w:r>
              <w:rPr>
                <w:rFonts w:hAnsi="宋体" w:cs="Times New Roman"/>
                <w:sz w:val="18"/>
                <w:szCs w:val="20"/>
              </w:rPr>
              <w:t xml:space="preserve">   </w:t>
            </w:r>
            <w:r w:rsidRPr="00985D47">
              <w:rPr>
                <w:rFonts w:hAnsi="宋体" w:cs="Times New Roman" w:hint="eastAsia"/>
                <w:sz w:val="18"/>
                <w:szCs w:val="20"/>
              </w:rPr>
              <w:t>□其他</w:t>
            </w:r>
            <w:r>
              <w:rPr>
                <w:rFonts w:hAnsi="宋体" w:cs="Times New Roman" w:hint="eastAsia"/>
                <w:sz w:val="18"/>
                <w:szCs w:val="20"/>
              </w:rPr>
              <w:t>：</w:t>
            </w:r>
          </w:p>
        </w:tc>
      </w:tr>
      <w:tr w:rsidR="00ED6ED0" w:rsidRPr="00F310AC" w14:paraId="6C48BEFB" w14:textId="77777777" w:rsidTr="00ED6ED0">
        <w:trPr>
          <w:trHeight w:val="356"/>
          <w:jc w:val="center"/>
        </w:trPr>
        <w:tc>
          <w:tcPr>
            <w:tcW w:w="671" w:type="dxa"/>
            <w:vMerge/>
          </w:tcPr>
          <w:p w14:paraId="45385319" w14:textId="77777777" w:rsidR="00ED6ED0" w:rsidRPr="007A052C" w:rsidRDefault="00ED6ED0" w:rsidP="008D1E16">
            <w:pPr>
              <w:pStyle w:val="TableParagraph"/>
              <w:kinsoku w:val="0"/>
              <w:overflowPunct w:val="0"/>
              <w:spacing w:line="331" w:lineRule="auto"/>
              <w:ind w:left="222" w:right="182"/>
              <w:jc w:val="both"/>
              <w:rPr>
                <w:rFonts w:hAnsi="宋体"/>
                <w:szCs w:val="20"/>
              </w:rPr>
            </w:pPr>
          </w:p>
        </w:tc>
        <w:tc>
          <w:tcPr>
            <w:tcW w:w="1238" w:type="dxa"/>
            <w:vAlign w:val="center"/>
          </w:tcPr>
          <w:p w14:paraId="1CD8C16C" w14:textId="77777777" w:rsidR="00ED6ED0" w:rsidRPr="00F310AC" w:rsidRDefault="00ED6ED0" w:rsidP="00985D47">
            <w:pPr>
              <w:pStyle w:val="TableParagraph"/>
              <w:kinsoku w:val="0"/>
              <w:overflowPunct w:val="0"/>
              <w:spacing w:before="43"/>
              <w:jc w:val="center"/>
              <w:rPr>
                <w:rFonts w:hAnsi="宋体"/>
                <w:sz w:val="18"/>
                <w:szCs w:val="20"/>
              </w:rPr>
            </w:pPr>
            <w:r>
              <w:rPr>
                <w:rFonts w:hAnsi="宋体"/>
                <w:sz w:val="18"/>
                <w:szCs w:val="20"/>
              </w:rPr>
              <w:t>*</w:t>
            </w:r>
            <w:r w:rsidRPr="00F310AC">
              <w:rPr>
                <w:rFonts w:hAnsi="宋体" w:hint="eastAsia"/>
                <w:sz w:val="18"/>
                <w:szCs w:val="20"/>
              </w:rPr>
              <w:t>证件号码</w:t>
            </w:r>
          </w:p>
        </w:tc>
        <w:tc>
          <w:tcPr>
            <w:tcW w:w="7555" w:type="dxa"/>
            <w:gridSpan w:val="18"/>
            <w:vAlign w:val="center"/>
          </w:tcPr>
          <w:p w14:paraId="42810FD2" w14:textId="77777777" w:rsidR="00ED6ED0" w:rsidRPr="00F310AC" w:rsidRDefault="00ED6ED0" w:rsidP="00985D47">
            <w:pPr>
              <w:pStyle w:val="TableParagraph"/>
              <w:kinsoku w:val="0"/>
              <w:overflowPunct w:val="0"/>
              <w:jc w:val="center"/>
              <w:rPr>
                <w:rFonts w:hAnsi="宋体" w:cs="Times New Roman"/>
                <w:sz w:val="18"/>
                <w:szCs w:val="20"/>
              </w:rPr>
            </w:pPr>
          </w:p>
        </w:tc>
      </w:tr>
      <w:tr w:rsidR="00ED6ED0" w:rsidRPr="00F310AC" w14:paraId="7C288987" w14:textId="77777777" w:rsidTr="00ED6ED0">
        <w:trPr>
          <w:trHeight w:val="356"/>
          <w:jc w:val="center"/>
        </w:trPr>
        <w:tc>
          <w:tcPr>
            <w:tcW w:w="671" w:type="dxa"/>
            <w:vMerge/>
          </w:tcPr>
          <w:p w14:paraId="3DD39F44" w14:textId="77777777" w:rsidR="00ED6ED0" w:rsidRPr="007A052C" w:rsidRDefault="00ED6ED0" w:rsidP="008D1E16">
            <w:pPr>
              <w:pStyle w:val="TableParagraph"/>
              <w:kinsoku w:val="0"/>
              <w:overflowPunct w:val="0"/>
              <w:spacing w:line="331" w:lineRule="auto"/>
              <w:ind w:left="222" w:right="182"/>
              <w:jc w:val="both"/>
              <w:rPr>
                <w:rFonts w:hAnsi="宋体"/>
                <w:szCs w:val="20"/>
              </w:rPr>
            </w:pPr>
          </w:p>
        </w:tc>
        <w:tc>
          <w:tcPr>
            <w:tcW w:w="1238" w:type="dxa"/>
            <w:vAlign w:val="center"/>
          </w:tcPr>
          <w:p w14:paraId="7A91C5BF" w14:textId="77777777" w:rsidR="00ED6ED0" w:rsidRPr="00F310AC" w:rsidRDefault="00ED6ED0" w:rsidP="00985D47">
            <w:pPr>
              <w:pStyle w:val="TableParagraph"/>
              <w:kinsoku w:val="0"/>
              <w:overflowPunct w:val="0"/>
              <w:spacing w:before="43"/>
              <w:jc w:val="center"/>
              <w:rPr>
                <w:rFonts w:hAnsi="宋体"/>
                <w:sz w:val="18"/>
                <w:szCs w:val="20"/>
              </w:rPr>
            </w:pPr>
            <w:r>
              <w:rPr>
                <w:rFonts w:hAnsi="宋体"/>
                <w:sz w:val="18"/>
                <w:szCs w:val="20"/>
              </w:rPr>
              <w:t>*</w:t>
            </w:r>
            <w:r w:rsidRPr="00F310AC">
              <w:rPr>
                <w:rFonts w:hAnsi="宋体" w:hint="eastAsia"/>
                <w:sz w:val="18"/>
                <w:szCs w:val="20"/>
              </w:rPr>
              <w:t>证件有效期</w:t>
            </w:r>
          </w:p>
        </w:tc>
        <w:tc>
          <w:tcPr>
            <w:tcW w:w="7555" w:type="dxa"/>
            <w:gridSpan w:val="18"/>
            <w:vAlign w:val="center"/>
          </w:tcPr>
          <w:p w14:paraId="455C2C9E" w14:textId="77777777" w:rsidR="00ED6ED0" w:rsidRPr="00F310AC" w:rsidRDefault="00ED6ED0" w:rsidP="00985D47">
            <w:pPr>
              <w:pStyle w:val="TableParagraph"/>
              <w:kinsoku w:val="0"/>
              <w:overflowPunct w:val="0"/>
              <w:jc w:val="center"/>
              <w:rPr>
                <w:rFonts w:hAnsi="宋体"/>
                <w:sz w:val="18"/>
                <w:szCs w:val="20"/>
              </w:rPr>
            </w:pPr>
          </w:p>
        </w:tc>
      </w:tr>
      <w:tr w:rsidR="00ED6ED0" w:rsidRPr="00F310AC" w14:paraId="11A87D47" w14:textId="77777777" w:rsidTr="00ED6ED0">
        <w:trPr>
          <w:trHeight w:val="356"/>
          <w:jc w:val="center"/>
        </w:trPr>
        <w:tc>
          <w:tcPr>
            <w:tcW w:w="671" w:type="dxa"/>
            <w:vMerge/>
          </w:tcPr>
          <w:p w14:paraId="3A3101F8" w14:textId="77777777" w:rsidR="00ED6ED0" w:rsidRPr="007A052C" w:rsidRDefault="00ED6ED0" w:rsidP="008D1E16">
            <w:pPr>
              <w:pStyle w:val="TableParagraph"/>
              <w:kinsoku w:val="0"/>
              <w:overflowPunct w:val="0"/>
              <w:spacing w:line="331" w:lineRule="auto"/>
              <w:ind w:left="222" w:right="182"/>
              <w:jc w:val="both"/>
              <w:rPr>
                <w:rFonts w:hAnsi="宋体"/>
                <w:szCs w:val="20"/>
              </w:rPr>
            </w:pPr>
          </w:p>
        </w:tc>
        <w:tc>
          <w:tcPr>
            <w:tcW w:w="1238" w:type="dxa"/>
            <w:vAlign w:val="center"/>
          </w:tcPr>
          <w:p w14:paraId="05255FBD" w14:textId="77777777" w:rsidR="00ED6ED0" w:rsidRPr="00F310AC" w:rsidRDefault="00ED6ED0" w:rsidP="008D1E16">
            <w:pPr>
              <w:pStyle w:val="TableParagraph"/>
              <w:kinsoku w:val="0"/>
              <w:overflowPunct w:val="0"/>
              <w:spacing w:before="53"/>
              <w:jc w:val="center"/>
              <w:rPr>
                <w:rFonts w:hAnsi="宋体"/>
                <w:sz w:val="18"/>
                <w:szCs w:val="20"/>
              </w:rPr>
            </w:pPr>
            <w:r>
              <w:rPr>
                <w:rFonts w:hAnsi="宋体"/>
                <w:sz w:val="18"/>
                <w:szCs w:val="20"/>
              </w:rPr>
              <w:t>*</w:t>
            </w:r>
            <w:r>
              <w:rPr>
                <w:rFonts w:hAnsi="宋体" w:hint="eastAsia"/>
                <w:sz w:val="18"/>
                <w:szCs w:val="20"/>
              </w:rPr>
              <w:t>住址</w:t>
            </w:r>
          </w:p>
        </w:tc>
        <w:tc>
          <w:tcPr>
            <w:tcW w:w="7555" w:type="dxa"/>
            <w:gridSpan w:val="18"/>
            <w:vAlign w:val="center"/>
          </w:tcPr>
          <w:p w14:paraId="05D68492" w14:textId="77777777" w:rsidR="00ED6ED0" w:rsidRPr="00F310AC" w:rsidRDefault="00ED6ED0" w:rsidP="008D1E16">
            <w:pPr>
              <w:pStyle w:val="TableParagraph"/>
              <w:kinsoku w:val="0"/>
              <w:overflowPunct w:val="0"/>
              <w:spacing w:before="43"/>
              <w:jc w:val="right"/>
              <w:rPr>
                <w:rFonts w:hAnsi="宋体"/>
                <w:sz w:val="18"/>
                <w:szCs w:val="20"/>
              </w:rPr>
            </w:pPr>
          </w:p>
        </w:tc>
      </w:tr>
      <w:tr w:rsidR="00ED6ED0" w:rsidRPr="00F310AC" w14:paraId="2A1AAD44" w14:textId="77777777" w:rsidTr="00ED6ED0">
        <w:trPr>
          <w:trHeight w:val="356"/>
          <w:jc w:val="center"/>
        </w:trPr>
        <w:tc>
          <w:tcPr>
            <w:tcW w:w="671" w:type="dxa"/>
            <w:vMerge/>
          </w:tcPr>
          <w:p w14:paraId="07DAD507" w14:textId="77777777" w:rsidR="00ED6ED0" w:rsidRPr="007A052C" w:rsidRDefault="00ED6ED0" w:rsidP="008D1E16">
            <w:pPr>
              <w:pStyle w:val="TableParagraph"/>
              <w:kinsoku w:val="0"/>
              <w:overflowPunct w:val="0"/>
              <w:spacing w:line="331" w:lineRule="auto"/>
              <w:ind w:left="222" w:right="182"/>
              <w:jc w:val="both"/>
              <w:rPr>
                <w:rFonts w:hAnsi="宋体"/>
                <w:szCs w:val="20"/>
              </w:rPr>
            </w:pPr>
          </w:p>
        </w:tc>
        <w:tc>
          <w:tcPr>
            <w:tcW w:w="1238" w:type="dxa"/>
            <w:vAlign w:val="center"/>
          </w:tcPr>
          <w:p w14:paraId="712B24EA" w14:textId="77777777" w:rsidR="00ED6ED0" w:rsidRDefault="00ED6ED0" w:rsidP="008D1E16">
            <w:pPr>
              <w:pStyle w:val="TableParagraph"/>
              <w:kinsoku w:val="0"/>
              <w:overflowPunct w:val="0"/>
              <w:spacing w:before="53"/>
              <w:jc w:val="center"/>
              <w:rPr>
                <w:rFonts w:hAnsi="宋体"/>
                <w:sz w:val="18"/>
                <w:szCs w:val="20"/>
              </w:rPr>
            </w:pPr>
            <w:r>
              <w:rPr>
                <w:rFonts w:hAnsi="宋体" w:hint="eastAsia"/>
                <w:sz w:val="18"/>
                <w:szCs w:val="20"/>
              </w:rPr>
              <w:t>邮政编码</w:t>
            </w:r>
          </w:p>
        </w:tc>
        <w:tc>
          <w:tcPr>
            <w:tcW w:w="7555" w:type="dxa"/>
            <w:gridSpan w:val="18"/>
            <w:vAlign w:val="center"/>
          </w:tcPr>
          <w:p w14:paraId="1F3407C4" w14:textId="77777777" w:rsidR="00ED6ED0" w:rsidRPr="00F310AC" w:rsidRDefault="00ED6ED0" w:rsidP="008D1E16">
            <w:pPr>
              <w:pStyle w:val="TableParagraph"/>
              <w:kinsoku w:val="0"/>
              <w:overflowPunct w:val="0"/>
              <w:spacing w:before="43"/>
              <w:jc w:val="right"/>
              <w:rPr>
                <w:rFonts w:hAnsi="宋体"/>
                <w:sz w:val="18"/>
                <w:szCs w:val="20"/>
              </w:rPr>
            </w:pPr>
          </w:p>
        </w:tc>
      </w:tr>
      <w:tr w:rsidR="00ED6ED0" w:rsidRPr="00F310AC" w14:paraId="74EF0880" w14:textId="77777777" w:rsidTr="00ED6ED0">
        <w:trPr>
          <w:trHeight w:val="356"/>
          <w:jc w:val="center"/>
        </w:trPr>
        <w:tc>
          <w:tcPr>
            <w:tcW w:w="671" w:type="dxa"/>
            <w:vMerge/>
          </w:tcPr>
          <w:p w14:paraId="5C75D2FB" w14:textId="77777777" w:rsidR="00ED6ED0" w:rsidRPr="007A052C" w:rsidRDefault="00ED6ED0" w:rsidP="008D1E16">
            <w:pPr>
              <w:pStyle w:val="TableParagraph"/>
              <w:kinsoku w:val="0"/>
              <w:overflowPunct w:val="0"/>
              <w:spacing w:line="331" w:lineRule="auto"/>
              <w:ind w:left="222" w:right="182"/>
              <w:jc w:val="both"/>
              <w:rPr>
                <w:rFonts w:hAnsi="宋体"/>
                <w:szCs w:val="20"/>
              </w:rPr>
            </w:pPr>
          </w:p>
        </w:tc>
        <w:tc>
          <w:tcPr>
            <w:tcW w:w="1238" w:type="dxa"/>
            <w:vAlign w:val="center"/>
          </w:tcPr>
          <w:p w14:paraId="2F2BD9C0" w14:textId="77777777" w:rsidR="00ED6ED0" w:rsidRPr="00F310AC" w:rsidRDefault="00ED6ED0" w:rsidP="008D1E16">
            <w:pPr>
              <w:pStyle w:val="TableParagraph"/>
              <w:kinsoku w:val="0"/>
              <w:overflowPunct w:val="0"/>
              <w:spacing w:before="53"/>
              <w:jc w:val="center"/>
              <w:rPr>
                <w:rFonts w:hAnsi="宋体"/>
                <w:sz w:val="18"/>
                <w:szCs w:val="20"/>
              </w:rPr>
            </w:pPr>
            <w:r>
              <w:rPr>
                <w:rFonts w:hAnsi="宋体" w:hint="eastAsia"/>
                <w:sz w:val="18"/>
                <w:szCs w:val="20"/>
              </w:rPr>
              <w:t>职业</w:t>
            </w:r>
          </w:p>
        </w:tc>
        <w:tc>
          <w:tcPr>
            <w:tcW w:w="7555" w:type="dxa"/>
            <w:gridSpan w:val="18"/>
            <w:vAlign w:val="center"/>
          </w:tcPr>
          <w:p w14:paraId="404D6A2D" w14:textId="77777777" w:rsidR="00ED6ED0" w:rsidRPr="00F310AC" w:rsidRDefault="00ED6ED0" w:rsidP="008D1E16">
            <w:pPr>
              <w:pStyle w:val="TableParagraph"/>
              <w:kinsoku w:val="0"/>
              <w:overflowPunct w:val="0"/>
              <w:jc w:val="center"/>
              <w:rPr>
                <w:rFonts w:hAnsi="宋体" w:cs="Times New Roman"/>
                <w:sz w:val="18"/>
                <w:szCs w:val="20"/>
              </w:rPr>
            </w:pPr>
          </w:p>
        </w:tc>
      </w:tr>
      <w:tr w:rsidR="00ED6ED0" w:rsidRPr="00F310AC" w14:paraId="695848BB" w14:textId="77777777" w:rsidTr="00ED6ED0">
        <w:trPr>
          <w:trHeight w:val="356"/>
          <w:jc w:val="center"/>
        </w:trPr>
        <w:tc>
          <w:tcPr>
            <w:tcW w:w="671" w:type="dxa"/>
            <w:vMerge/>
          </w:tcPr>
          <w:p w14:paraId="112613A2" w14:textId="77777777" w:rsidR="00ED6ED0" w:rsidRPr="007A052C" w:rsidRDefault="00ED6ED0" w:rsidP="00F350B1">
            <w:pPr>
              <w:pStyle w:val="TableParagraph"/>
              <w:kinsoku w:val="0"/>
              <w:overflowPunct w:val="0"/>
              <w:spacing w:line="331" w:lineRule="auto"/>
              <w:ind w:left="222" w:right="182"/>
              <w:jc w:val="both"/>
              <w:rPr>
                <w:rFonts w:hAnsi="宋体"/>
                <w:szCs w:val="20"/>
              </w:rPr>
            </w:pPr>
          </w:p>
        </w:tc>
        <w:tc>
          <w:tcPr>
            <w:tcW w:w="1238" w:type="dxa"/>
            <w:vAlign w:val="center"/>
          </w:tcPr>
          <w:p w14:paraId="7CCBEE83" w14:textId="77777777" w:rsidR="00ED6ED0" w:rsidRPr="00F310AC" w:rsidRDefault="00ED6ED0" w:rsidP="00F350B1">
            <w:pPr>
              <w:pStyle w:val="TableParagraph"/>
              <w:kinsoku w:val="0"/>
              <w:overflowPunct w:val="0"/>
              <w:spacing w:before="75"/>
              <w:jc w:val="center"/>
              <w:rPr>
                <w:rFonts w:hAnsi="宋体"/>
                <w:sz w:val="18"/>
                <w:szCs w:val="20"/>
              </w:rPr>
            </w:pPr>
            <w:r>
              <w:rPr>
                <w:rFonts w:hAnsi="宋体"/>
                <w:sz w:val="18"/>
                <w:szCs w:val="20"/>
              </w:rPr>
              <w:t>*</w:t>
            </w:r>
            <w:r>
              <w:rPr>
                <w:rFonts w:hAnsi="宋体" w:hint="eastAsia"/>
                <w:sz w:val="18"/>
                <w:szCs w:val="20"/>
              </w:rPr>
              <w:t>手机号码</w:t>
            </w:r>
          </w:p>
        </w:tc>
        <w:tc>
          <w:tcPr>
            <w:tcW w:w="7555" w:type="dxa"/>
            <w:gridSpan w:val="18"/>
            <w:vAlign w:val="center"/>
          </w:tcPr>
          <w:p w14:paraId="368A0E6D" w14:textId="77777777" w:rsidR="00ED6ED0" w:rsidRPr="00F310AC" w:rsidRDefault="00ED6ED0" w:rsidP="00F350B1">
            <w:pPr>
              <w:pStyle w:val="TableParagraph"/>
              <w:kinsoku w:val="0"/>
              <w:overflowPunct w:val="0"/>
              <w:jc w:val="center"/>
              <w:rPr>
                <w:rFonts w:hAnsi="宋体" w:cs="Times New Roman"/>
                <w:sz w:val="18"/>
                <w:szCs w:val="20"/>
              </w:rPr>
            </w:pPr>
          </w:p>
        </w:tc>
      </w:tr>
      <w:tr w:rsidR="00ED6ED0" w:rsidRPr="00F310AC" w14:paraId="5572B1DF" w14:textId="77777777" w:rsidTr="00ED6ED0">
        <w:trPr>
          <w:trHeight w:val="356"/>
          <w:jc w:val="center"/>
        </w:trPr>
        <w:tc>
          <w:tcPr>
            <w:tcW w:w="671" w:type="dxa"/>
            <w:vMerge/>
          </w:tcPr>
          <w:p w14:paraId="7AEB25AA" w14:textId="77777777" w:rsidR="00ED6ED0" w:rsidRPr="007A052C" w:rsidRDefault="00ED6ED0" w:rsidP="00F350B1">
            <w:pPr>
              <w:pStyle w:val="TableParagraph"/>
              <w:kinsoku w:val="0"/>
              <w:overflowPunct w:val="0"/>
              <w:spacing w:line="331" w:lineRule="auto"/>
              <w:ind w:left="222" w:right="182"/>
              <w:jc w:val="both"/>
              <w:rPr>
                <w:rFonts w:hAnsi="宋体"/>
                <w:szCs w:val="20"/>
              </w:rPr>
            </w:pPr>
          </w:p>
        </w:tc>
        <w:tc>
          <w:tcPr>
            <w:tcW w:w="1238" w:type="dxa"/>
            <w:vAlign w:val="center"/>
          </w:tcPr>
          <w:p w14:paraId="2A10F501" w14:textId="77777777" w:rsidR="00ED6ED0" w:rsidRPr="0099720D" w:rsidRDefault="00ED6ED0" w:rsidP="00F350B1">
            <w:pPr>
              <w:pStyle w:val="TableParagraph"/>
              <w:kinsoku w:val="0"/>
              <w:overflowPunct w:val="0"/>
              <w:jc w:val="center"/>
              <w:rPr>
                <w:rFonts w:hAnsi="宋体" w:cs="Times New Roman"/>
                <w:sz w:val="18"/>
                <w:szCs w:val="20"/>
              </w:rPr>
            </w:pPr>
            <w:r>
              <w:rPr>
                <w:rFonts w:hAnsi="宋体" w:cs="Times New Roman"/>
                <w:sz w:val="18"/>
                <w:szCs w:val="20"/>
              </w:rPr>
              <w:t>*</w:t>
            </w:r>
            <w:r w:rsidRPr="0099720D">
              <w:rPr>
                <w:rFonts w:hAnsi="宋体" w:cs="Times New Roman" w:hint="eastAsia"/>
                <w:sz w:val="18"/>
                <w:szCs w:val="20"/>
              </w:rPr>
              <w:t>托管券商名称及营业部名称</w:t>
            </w:r>
          </w:p>
        </w:tc>
        <w:tc>
          <w:tcPr>
            <w:tcW w:w="2593" w:type="dxa"/>
            <w:gridSpan w:val="6"/>
            <w:vAlign w:val="center"/>
          </w:tcPr>
          <w:p w14:paraId="6793DFC8" w14:textId="77777777" w:rsidR="00ED6ED0" w:rsidRPr="0099720D" w:rsidRDefault="00ED6ED0" w:rsidP="00F350B1">
            <w:pPr>
              <w:pStyle w:val="TableParagraph"/>
              <w:kinsoku w:val="0"/>
              <w:overflowPunct w:val="0"/>
              <w:jc w:val="center"/>
              <w:rPr>
                <w:rFonts w:hAnsi="宋体"/>
                <w:sz w:val="18"/>
                <w:szCs w:val="20"/>
              </w:rPr>
            </w:pPr>
          </w:p>
        </w:tc>
        <w:tc>
          <w:tcPr>
            <w:tcW w:w="670" w:type="dxa"/>
            <w:gridSpan w:val="2"/>
            <w:vAlign w:val="center"/>
          </w:tcPr>
          <w:p w14:paraId="2EFCF33E" w14:textId="77777777" w:rsidR="00ED6ED0" w:rsidRPr="00F310AC" w:rsidRDefault="00ED6ED0" w:rsidP="00F350B1">
            <w:pPr>
              <w:pStyle w:val="TableParagraph"/>
              <w:kinsoku w:val="0"/>
              <w:overflowPunct w:val="0"/>
              <w:jc w:val="center"/>
              <w:rPr>
                <w:rFonts w:hAnsi="宋体" w:cs="Times New Roman"/>
                <w:sz w:val="18"/>
                <w:szCs w:val="20"/>
              </w:rPr>
            </w:pPr>
            <w:r>
              <w:rPr>
                <w:rFonts w:hAnsi="宋体" w:cs="Times New Roman"/>
                <w:sz w:val="18"/>
                <w:szCs w:val="20"/>
              </w:rPr>
              <w:t>*</w:t>
            </w:r>
            <w:r>
              <w:rPr>
                <w:rFonts w:hAnsi="宋体" w:cs="Times New Roman" w:hint="eastAsia"/>
                <w:sz w:val="18"/>
                <w:szCs w:val="20"/>
              </w:rPr>
              <w:t>沪市证券账号</w:t>
            </w:r>
          </w:p>
        </w:tc>
        <w:tc>
          <w:tcPr>
            <w:tcW w:w="1560" w:type="dxa"/>
            <w:gridSpan w:val="4"/>
            <w:vAlign w:val="center"/>
          </w:tcPr>
          <w:p w14:paraId="390C6778" w14:textId="77777777" w:rsidR="00ED6ED0" w:rsidRPr="00F310AC" w:rsidRDefault="00ED6ED0" w:rsidP="00F350B1">
            <w:pPr>
              <w:pStyle w:val="TableParagraph"/>
              <w:kinsoku w:val="0"/>
              <w:overflowPunct w:val="0"/>
              <w:jc w:val="center"/>
              <w:rPr>
                <w:rFonts w:hAnsi="宋体" w:cs="Times New Roman"/>
                <w:sz w:val="18"/>
                <w:szCs w:val="20"/>
              </w:rPr>
            </w:pPr>
          </w:p>
        </w:tc>
        <w:tc>
          <w:tcPr>
            <w:tcW w:w="1134" w:type="dxa"/>
            <w:gridSpan w:val="3"/>
            <w:vAlign w:val="center"/>
          </w:tcPr>
          <w:p w14:paraId="2BEA272F" w14:textId="77777777" w:rsidR="00ED6ED0" w:rsidRPr="00F310AC" w:rsidRDefault="00ED6ED0" w:rsidP="00F350B1">
            <w:pPr>
              <w:pStyle w:val="TableParagraph"/>
              <w:kinsoku w:val="0"/>
              <w:overflowPunct w:val="0"/>
              <w:jc w:val="center"/>
              <w:rPr>
                <w:rFonts w:hAnsi="宋体" w:cs="Times New Roman"/>
                <w:sz w:val="18"/>
                <w:szCs w:val="20"/>
              </w:rPr>
            </w:pPr>
            <w:r>
              <w:rPr>
                <w:rFonts w:hAnsi="宋体" w:cs="Times New Roman" w:hint="eastAsia"/>
                <w:sz w:val="18"/>
                <w:szCs w:val="20"/>
              </w:rPr>
              <w:t>沪市托管席位</w:t>
            </w:r>
          </w:p>
        </w:tc>
        <w:tc>
          <w:tcPr>
            <w:tcW w:w="1598" w:type="dxa"/>
            <w:gridSpan w:val="3"/>
            <w:vAlign w:val="center"/>
          </w:tcPr>
          <w:p w14:paraId="50EDFF94" w14:textId="77777777" w:rsidR="00ED6ED0" w:rsidRPr="00F310AC" w:rsidRDefault="00ED6ED0" w:rsidP="00F350B1">
            <w:pPr>
              <w:pStyle w:val="TableParagraph"/>
              <w:kinsoku w:val="0"/>
              <w:overflowPunct w:val="0"/>
              <w:jc w:val="center"/>
              <w:rPr>
                <w:rFonts w:hAnsi="宋体" w:cs="Times New Roman"/>
                <w:sz w:val="18"/>
                <w:szCs w:val="20"/>
              </w:rPr>
            </w:pPr>
          </w:p>
        </w:tc>
      </w:tr>
      <w:tr w:rsidR="00ED6ED0" w:rsidRPr="00F310AC" w14:paraId="6CE7146C" w14:textId="77777777" w:rsidTr="00ED6ED0">
        <w:trPr>
          <w:trHeight w:val="356"/>
          <w:jc w:val="center"/>
        </w:trPr>
        <w:tc>
          <w:tcPr>
            <w:tcW w:w="671" w:type="dxa"/>
            <w:vMerge/>
          </w:tcPr>
          <w:p w14:paraId="2C1EA170" w14:textId="77777777" w:rsidR="00ED6ED0" w:rsidRPr="007A052C" w:rsidRDefault="00ED6ED0" w:rsidP="00577E31">
            <w:pPr>
              <w:pStyle w:val="TableParagraph"/>
              <w:kinsoku w:val="0"/>
              <w:overflowPunct w:val="0"/>
              <w:spacing w:line="331" w:lineRule="auto"/>
              <w:ind w:left="222" w:right="182"/>
              <w:jc w:val="both"/>
              <w:rPr>
                <w:rFonts w:hAnsi="宋体"/>
                <w:szCs w:val="20"/>
              </w:rPr>
            </w:pPr>
          </w:p>
        </w:tc>
        <w:tc>
          <w:tcPr>
            <w:tcW w:w="1238" w:type="dxa"/>
            <w:vMerge w:val="restart"/>
            <w:vAlign w:val="center"/>
          </w:tcPr>
          <w:p w14:paraId="2E240EF8" w14:textId="77777777" w:rsidR="00ED6ED0" w:rsidRDefault="00ED6ED0" w:rsidP="00577E31">
            <w:pPr>
              <w:pStyle w:val="TableParagraph"/>
              <w:kinsoku w:val="0"/>
              <w:overflowPunct w:val="0"/>
              <w:jc w:val="center"/>
              <w:rPr>
                <w:rFonts w:hAnsi="宋体"/>
                <w:sz w:val="18"/>
                <w:szCs w:val="20"/>
              </w:rPr>
            </w:pPr>
            <w:r>
              <w:rPr>
                <w:rFonts w:hAnsi="宋体"/>
                <w:sz w:val="18"/>
                <w:szCs w:val="20"/>
              </w:rPr>
              <w:t>*</w:t>
            </w:r>
            <w:r>
              <w:rPr>
                <w:rFonts w:hAnsi="宋体" w:hint="eastAsia"/>
                <w:sz w:val="18"/>
                <w:szCs w:val="20"/>
              </w:rPr>
              <w:t>紧急联系人</w:t>
            </w:r>
          </w:p>
        </w:tc>
        <w:tc>
          <w:tcPr>
            <w:tcW w:w="1591" w:type="dxa"/>
            <w:gridSpan w:val="3"/>
            <w:vAlign w:val="center"/>
          </w:tcPr>
          <w:p w14:paraId="385F0C4C" w14:textId="77777777" w:rsidR="00ED6ED0" w:rsidRDefault="00ED6ED0" w:rsidP="00577E31">
            <w:pPr>
              <w:pStyle w:val="TableParagraph"/>
              <w:kinsoku w:val="0"/>
              <w:overflowPunct w:val="0"/>
              <w:jc w:val="center"/>
              <w:rPr>
                <w:rFonts w:hAnsi="宋体" w:cs="Times New Roman"/>
                <w:sz w:val="18"/>
                <w:szCs w:val="20"/>
              </w:rPr>
            </w:pPr>
            <w:r>
              <w:rPr>
                <w:rFonts w:hAnsi="宋体"/>
                <w:sz w:val="18"/>
                <w:szCs w:val="20"/>
              </w:rPr>
              <w:t>*</w:t>
            </w:r>
            <w:r>
              <w:rPr>
                <w:rFonts w:hAnsi="宋体" w:hint="eastAsia"/>
                <w:sz w:val="18"/>
                <w:szCs w:val="20"/>
              </w:rPr>
              <w:t>紧急联系人</w:t>
            </w:r>
            <w:r w:rsidRPr="00F310AC">
              <w:rPr>
                <w:rFonts w:hAnsi="宋体" w:hint="eastAsia"/>
                <w:sz w:val="18"/>
                <w:szCs w:val="20"/>
              </w:rPr>
              <w:t>姓名</w:t>
            </w:r>
          </w:p>
        </w:tc>
        <w:tc>
          <w:tcPr>
            <w:tcW w:w="5964" w:type="dxa"/>
            <w:gridSpan w:val="15"/>
            <w:vAlign w:val="center"/>
          </w:tcPr>
          <w:p w14:paraId="31678F09" w14:textId="77777777" w:rsidR="00ED6ED0" w:rsidRPr="00F310AC" w:rsidRDefault="00ED6ED0" w:rsidP="00577E31">
            <w:pPr>
              <w:pStyle w:val="TableParagraph"/>
              <w:kinsoku w:val="0"/>
              <w:overflowPunct w:val="0"/>
              <w:jc w:val="center"/>
              <w:rPr>
                <w:rFonts w:hAnsi="宋体" w:cs="Times New Roman"/>
                <w:sz w:val="18"/>
                <w:szCs w:val="20"/>
              </w:rPr>
            </w:pPr>
          </w:p>
        </w:tc>
      </w:tr>
      <w:tr w:rsidR="00ED6ED0" w:rsidRPr="00F310AC" w14:paraId="28F8294E" w14:textId="77777777" w:rsidTr="00ED6ED0">
        <w:trPr>
          <w:trHeight w:val="356"/>
          <w:jc w:val="center"/>
        </w:trPr>
        <w:tc>
          <w:tcPr>
            <w:tcW w:w="671" w:type="dxa"/>
            <w:vMerge/>
          </w:tcPr>
          <w:p w14:paraId="7807705D" w14:textId="77777777" w:rsidR="00ED6ED0" w:rsidRPr="007A052C" w:rsidRDefault="00ED6ED0" w:rsidP="00577E31">
            <w:pPr>
              <w:pStyle w:val="TableParagraph"/>
              <w:kinsoku w:val="0"/>
              <w:overflowPunct w:val="0"/>
              <w:spacing w:line="331" w:lineRule="auto"/>
              <w:ind w:left="222" w:right="182"/>
              <w:jc w:val="both"/>
              <w:rPr>
                <w:rFonts w:hAnsi="宋体"/>
                <w:szCs w:val="20"/>
              </w:rPr>
            </w:pPr>
          </w:p>
        </w:tc>
        <w:tc>
          <w:tcPr>
            <w:tcW w:w="1238" w:type="dxa"/>
            <w:vMerge/>
            <w:vAlign w:val="center"/>
          </w:tcPr>
          <w:p w14:paraId="506E86D0" w14:textId="77777777" w:rsidR="00ED6ED0" w:rsidRDefault="00ED6ED0" w:rsidP="00577E31">
            <w:pPr>
              <w:pStyle w:val="TableParagraph"/>
              <w:kinsoku w:val="0"/>
              <w:overflowPunct w:val="0"/>
              <w:jc w:val="center"/>
              <w:rPr>
                <w:rFonts w:hAnsi="宋体"/>
                <w:sz w:val="18"/>
                <w:szCs w:val="20"/>
              </w:rPr>
            </w:pPr>
          </w:p>
        </w:tc>
        <w:tc>
          <w:tcPr>
            <w:tcW w:w="1591" w:type="dxa"/>
            <w:gridSpan w:val="3"/>
            <w:vAlign w:val="center"/>
          </w:tcPr>
          <w:p w14:paraId="3B36AA1C" w14:textId="77777777" w:rsidR="00ED6ED0" w:rsidRDefault="00ED6ED0" w:rsidP="00577E31">
            <w:pPr>
              <w:pStyle w:val="TableParagraph"/>
              <w:kinsoku w:val="0"/>
              <w:overflowPunct w:val="0"/>
              <w:jc w:val="center"/>
              <w:rPr>
                <w:rFonts w:hAnsi="宋体" w:cs="Times New Roman"/>
                <w:sz w:val="18"/>
                <w:szCs w:val="20"/>
              </w:rPr>
            </w:pPr>
            <w:r>
              <w:rPr>
                <w:rFonts w:hAnsi="宋体"/>
                <w:sz w:val="18"/>
                <w:szCs w:val="20"/>
              </w:rPr>
              <w:t>*</w:t>
            </w:r>
            <w:r>
              <w:rPr>
                <w:rFonts w:hAnsi="宋体" w:hint="eastAsia"/>
                <w:sz w:val="18"/>
                <w:szCs w:val="20"/>
              </w:rPr>
              <w:t>紧急联系人手机号码</w:t>
            </w:r>
          </w:p>
        </w:tc>
        <w:tc>
          <w:tcPr>
            <w:tcW w:w="5964" w:type="dxa"/>
            <w:gridSpan w:val="15"/>
            <w:vAlign w:val="center"/>
          </w:tcPr>
          <w:p w14:paraId="3B28D820" w14:textId="77777777" w:rsidR="00ED6ED0" w:rsidRPr="00F310AC" w:rsidRDefault="00ED6ED0" w:rsidP="00577E31">
            <w:pPr>
              <w:pStyle w:val="TableParagraph"/>
              <w:kinsoku w:val="0"/>
              <w:overflowPunct w:val="0"/>
              <w:jc w:val="center"/>
              <w:rPr>
                <w:rFonts w:hAnsi="宋体" w:cs="Times New Roman"/>
                <w:sz w:val="18"/>
                <w:szCs w:val="20"/>
              </w:rPr>
            </w:pPr>
          </w:p>
        </w:tc>
      </w:tr>
      <w:tr w:rsidR="005560ED" w:rsidRPr="00F310AC" w14:paraId="658F0B17" w14:textId="77777777" w:rsidTr="00ED6ED0">
        <w:trPr>
          <w:trHeight w:val="426"/>
          <w:jc w:val="center"/>
        </w:trPr>
        <w:tc>
          <w:tcPr>
            <w:tcW w:w="671" w:type="dxa"/>
            <w:vMerge w:val="restart"/>
          </w:tcPr>
          <w:p w14:paraId="53555B78" w14:textId="77777777" w:rsidR="005560ED" w:rsidRPr="007A052C" w:rsidRDefault="005560ED" w:rsidP="00F350B1">
            <w:pPr>
              <w:pStyle w:val="TableParagraph"/>
              <w:kinsoku w:val="0"/>
              <w:overflowPunct w:val="0"/>
              <w:spacing w:before="53"/>
              <w:ind w:left="222"/>
              <w:rPr>
                <w:rFonts w:hAnsi="宋体"/>
                <w:sz w:val="22"/>
                <w:szCs w:val="20"/>
              </w:rPr>
            </w:pPr>
            <w:r w:rsidRPr="007A052C">
              <w:rPr>
                <w:rFonts w:hAnsi="宋体" w:hint="eastAsia"/>
                <w:sz w:val="22"/>
                <w:szCs w:val="20"/>
              </w:rPr>
              <w:t>银</w:t>
            </w:r>
          </w:p>
          <w:p w14:paraId="0CA2E509" w14:textId="77777777" w:rsidR="005560ED" w:rsidRPr="007A052C" w:rsidRDefault="005560ED" w:rsidP="00F350B1">
            <w:pPr>
              <w:pStyle w:val="TableParagraph"/>
              <w:kinsoku w:val="0"/>
              <w:overflowPunct w:val="0"/>
              <w:rPr>
                <w:rFonts w:hAnsi="宋体"/>
                <w:sz w:val="22"/>
                <w:szCs w:val="20"/>
              </w:rPr>
            </w:pPr>
          </w:p>
          <w:p w14:paraId="603946F6" w14:textId="77777777" w:rsidR="005560ED" w:rsidRPr="007A052C" w:rsidRDefault="005560ED" w:rsidP="00F350B1">
            <w:pPr>
              <w:pStyle w:val="TableParagraph"/>
              <w:kinsoku w:val="0"/>
              <w:overflowPunct w:val="0"/>
              <w:spacing w:before="11"/>
              <w:rPr>
                <w:rFonts w:hAnsi="宋体"/>
                <w:sz w:val="22"/>
                <w:szCs w:val="20"/>
              </w:rPr>
            </w:pPr>
          </w:p>
          <w:p w14:paraId="10642A28" w14:textId="77777777" w:rsidR="005560ED" w:rsidRPr="007A052C" w:rsidRDefault="005560ED" w:rsidP="00F350B1">
            <w:pPr>
              <w:pStyle w:val="TableParagraph"/>
              <w:kinsoku w:val="0"/>
              <w:overflowPunct w:val="0"/>
              <w:ind w:left="222"/>
              <w:rPr>
                <w:rFonts w:hAnsi="宋体"/>
                <w:sz w:val="22"/>
                <w:szCs w:val="20"/>
              </w:rPr>
            </w:pPr>
            <w:r w:rsidRPr="007A052C">
              <w:rPr>
                <w:rFonts w:hAnsi="宋体" w:hint="eastAsia"/>
                <w:sz w:val="22"/>
                <w:szCs w:val="20"/>
              </w:rPr>
              <w:t>行</w:t>
            </w:r>
          </w:p>
        </w:tc>
        <w:tc>
          <w:tcPr>
            <w:tcW w:w="1238" w:type="dxa"/>
            <w:vAlign w:val="center"/>
          </w:tcPr>
          <w:p w14:paraId="6DB1EB63" w14:textId="77777777" w:rsidR="005560ED" w:rsidRPr="00F310AC" w:rsidRDefault="005560ED" w:rsidP="00F350B1">
            <w:pPr>
              <w:pStyle w:val="TableParagraph"/>
              <w:kinsoku w:val="0"/>
              <w:overflowPunct w:val="0"/>
              <w:spacing w:before="53"/>
              <w:jc w:val="center"/>
              <w:rPr>
                <w:rFonts w:hAnsi="宋体"/>
                <w:sz w:val="18"/>
                <w:szCs w:val="20"/>
              </w:rPr>
            </w:pPr>
            <w:r>
              <w:rPr>
                <w:rFonts w:hAnsi="宋体"/>
                <w:sz w:val="18"/>
                <w:szCs w:val="20"/>
              </w:rPr>
              <w:t>*</w:t>
            </w:r>
            <w:r w:rsidRPr="00F310AC">
              <w:rPr>
                <w:rFonts w:hAnsi="宋体" w:hint="eastAsia"/>
                <w:sz w:val="18"/>
                <w:szCs w:val="20"/>
              </w:rPr>
              <w:t>银行户名</w:t>
            </w:r>
          </w:p>
        </w:tc>
        <w:tc>
          <w:tcPr>
            <w:tcW w:w="7555" w:type="dxa"/>
            <w:gridSpan w:val="18"/>
            <w:vAlign w:val="center"/>
          </w:tcPr>
          <w:p w14:paraId="5DA03145" w14:textId="77777777" w:rsidR="005560ED" w:rsidRPr="00F310AC" w:rsidRDefault="005560ED" w:rsidP="00F350B1">
            <w:pPr>
              <w:pStyle w:val="TableParagraph"/>
              <w:kinsoku w:val="0"/>
              <w:overflowPunct w:val="0"/>
              <w:jc w:val="center"/>
              <w:rPr>
                <w:rFonts w:hAnsi="宋体" w:cs="Times New Roman"/>
                <w:sz w:val="18"/>
                <w:szCs w:val="20"/>
              </w:rPr>
            </w:pPr>
          </w:p>
        </w:tc>
      </w:tr>
      <w:tr w:rsidR="005560ED" w:rsidRPr="00F310AC" w14:paraId="11CE020D" w14:textId="77777777" w:rsidTr="00ED6ED0">
        <w:trPr>
          <w:trHeight w:val="473"/>
          <w:jc w:val="center"/>
        </w:trPr>
        <w:tc>
          <w:tcPr>
            <w:tcW w:w="671" w:type="dxa"/>
            <w:vMerge/>
          </w:tcPr>
          <w:p w14:paraId="3BA96831" w14:textId="77777777" w:rsidR="005560ED" w:rsidRPr="00F310AC" w:rsidRDefault="005560ED" w:rsidP="00F350B1">
            <w:pPr>
              <w:pStyle w:val="a3"/>
              <w:kinsoku w:val="0"/>
              <w:overflowPunct w:val="0"/>
              <w:spacing w:after="24" w:line="219" w:lineRule="exact"/>
              <w:ind w:left="799" w:right="0" w:firstLine="0"/>
              <w:jc w:val="left"/>
              <w:rPr>
                <w:rFonts w:hAnsi="宋体"/>
                <w:sz w:val="20"/>
                <w:szCs w:val="20"/>
              </w:rPr>
            </w:pPr>
          </w:p>
        </w:tc>
        <w:tc>
          <w:tcPr>
            <w:tcW w:w="1238" w:type="dxa"/>
            <w:vAlign w:val="center"/>
          </w:tcPr>
          <w:p w14:paraId="6D0EFCC9" w14:textId="77777777" w:rsidR="005560ED" w:rsidRPr="00F310AC" w:rsidRDefault="005560ED" w:rsidP="00F350B1">
            <w:pPr>
              <w:pStyle w:val="TableParagraph"/>
              <w:kinsoku w:val="0"/>
              <w:overflowPunct w:val="0"/>
              <w:spacing w:before="113"/>
              <w:jc w:val="center"/>
              <w:rPr>
                <w:rFonts w:hAnsi="宋体"/>
                <w:sz w:val="18"/>
                <w:szCs w:val="20"/>
              </w:rPr>
            </w:pPr>
            <w:r>
              <w:rPr>
                <w:rFonts w:hAnsi="宋体"/>
                <w:sz w:val="18"/>
                <w:szCs w:val="20"/>
              </w:rPr>
              <w:t>*</w:t>
            </w:r>
            <w:r>
              <w:rPr>
                <w:rFonts w:hAnsi="宋体" w:hint="eastAsia"/>
                <w:sz w:val="18"/>
                <w:szCs w:val="20"/>
              </w:rPr>
              <w:t>开户银行</w:t>
            </w:r>
          </w:p>
        </w:tc>
        <w:tc>
          <w:tcPr>
            <w:tcW w:w="7555" w:type="dxa"/>
            <w:gridSpan w:val="18"/>
            <w:vAlign w:val="center"/>
          </w:tcPr>
          <w:p w14:paraId="730494D1" w14:textId="77777777" w:rsidR="005560ED" w:rsidRPr="00F310AC" w:rsidRDefault="005560ED" w:rsidP="00F350B1">
            <w:pPr>
              <w:pStyle w:val="TableParagraph"/>
              <w:kinsoku w:val="0"/>
              <w:overflowPunct w:val="0"/>
              <w:spacing w:before="113"/>
              <w:rPr>
                <w:rFonts w:hAnsi="宋体"/>
                <w:sz w:val="18"/>
                <w:szCs w:val="20"/>
              </w:rPr>
            </w:pPr>
            <w:r>
              <w:rPr>
                <w:rFonts w:hAnsi="宋体"/>
                <w:sz w:val="18"/>
                <w:szCs w:val="20"/>
              </w:rPr>
              <w:t>________________</w:t>
            </w:r>
            <w:r>
              <w:rPr>
                <w:rFonts w:hAnsi="宋体" w:hint="eastAsia"/>
                <w:sz w:val="18"/>
                <w:szCs w:val="20"/>
              </w:rPr>
              <w:t>银行</w:t>
            </w:r>
            <w:r w:rsidRPr="00752DBC">
              <w:rPr>
                <w:rFonts w:hAnsi="宋体"/>
                <w:sz w:val="18"/>
                <w:szCs w:val="20"/>
              </w:rPr>
              <w:t>________________</w:t>
            </w:r>
            <w:r>
              <w:rPr>
                <w:rFonts w:hAnsi="宋体" w:hint="eastAsia"/>
                <w:sz w:val="18"/>
                <w:szCs w:val="20"/>
              </w:rPr>
              <w:t>分行</w:t>
            </w:r>
            <w:r w:rsidRPr="00752DBC">
              <w:rPr>
                <w:rFonts w:hAnsi="宋体"/>
                <w:sz w:val="18"/>
                <w:szCs w:val="20"/>
              </w:rPr>
              <w:t>________________</w:t>
            </w:r>
            <w:r>
              <w:rPr>
                <w:rFonts w:hAnsi="宋体" w:hint="eastAsia"/>
                <w:sz w:val="18"/>
                <w:szCs w:val="20"/>
              </w:rPr>
              <w:t>支行</w:t>
            </w:r>
          </w:p>
        </w:tc>
      </w:tr>
      <w:tr w:rsidR="005560ED" w:rsidRPr="00F310AC" w14:paraId="14067FF4" w14:textId="77777777" w:rsidTr="00ED6ED0">
        <w:trPr>
          <w:trHeight w:val="396"/>
          <w:jc w:val="center"/>
        </w:trPr>
        <w:tc>
          <w:tcPr>
            <w:tcW w:w="671" w:type="dxa"/>
            <w:vMerge/>
          </w:tcPr>
          <w:p w14:paraId="27316465" w14:textId="77777777" w:rsidR="005560ED" w:rsidRPr="00F310AC" w:rsidRDefault="005560ED" w:rsidP="00F350B1">
            <w:pPr>
              <w:pStyle w:val="a3"/>
              <w:kinsoku w:val="0"/>
              <w:overflowPunct w:val="0"/>
              <w:spacing w:after="24" w:line="219" w:lineRule="exact"/>
              <w:ind w:left="799" w:right="0" w:firstLine="0"/>
              <w:jc w:val="left"/>
              <w:rPr>
                <w:rFonts w:hAnsi="宋体"/>
                <w:sz w:val="20"/>
                <w:szCs w:val="20"/>
              </w:rPr>
            </w:pPr>
          </w:p>
        </w:tc>
        <w:tc>
          <w:tcPr>
            <w:tcW w:w="1238" w:type="dxa"/>
            <w:vMerge w:val="restart"/>
            <w:vAlign w:val="center"/>
          </w:tcPr>
          <w:p w14:paraId="2CE54EF5" w14:textId="77777777" w:rsidR="005560ED" w:rsidRPr="00F310AC" w:rsidRDefault="005560ED" w:rsidP="00F350B1">
            <w:pPr>
              <w:pStyle w:val="TableParagraph"/>
              <w:kinsoku w:val="0"/>
              <w:overflowPunct w:val="0"/>
              <w:spacing w:before="75"/>
              <w:jc w:val="center"/>
              <w:rPr>
                <w:rFonts w:hAnsi="宋体"/>
                <w:sz w:val="18"/>
                <w:szCs w:val="20"/>
              </w:rPr>
            </w:pPr>
            <w:r>
              <w:rPr>
                <w:rFonts w:hAnsi="宋体"/>
                <w:sz w:val="18"/>
                <w:szCs w:val="20"/>
              </w:rPr>
              <w:t>*</w:t>
            </w:r>
            <w:r w:rsidRPr="00F310AC">
              <w:rPr>
                <w:rFonts w:hAnsi="宋体" w:hint="eastAsia"/>
                <w:sz w:val="18"/>
                <w:szCs w:val="20"/>
              </w:rPr>
              <w:t>银行账号</w:t>
            </w:r>
          </w:p>
        </w:tc>
        <w:tc>
          <w:tcPr>
            <w:tcW w:w="7555" w:type="dxa"/>
            <w:gridSpan w:val="18"/>
            <w:vAlign w:val="center"/>
          </w:tcPr>
          <w:p w14:paraId="7412E5CB" w14:textId="77777777" w:rsidR="005560ED" w:rsidRPr="00F310AC" w:rsidRDefault="005560ED" w:rsidP="00F350B1">
            <w:pPr>
              <w:pStyle w:val="TableParagraph"/>
              <w:kinsoku w:val="0"/>
              <w:overflowPunct w:val="0"/>
              <w:jc w:val="center"/>
              <w:rPr>
                <w:rFonts w:hAnsi="宋体" w:cs="Times New Roman"/>
                <w:sz w:val="18"/>
                <w:szCs w:val="20"/>
              </w:rPr>
            </w:pPr>
          </w:p>
        </w:tc>
      </w:tr>
      <w:tr w:rsidR="005560ED" w:rsidRPr="00F310AC" w14:paraId="7D9AA248" w14:textId="77777777" w:rsidTr="00ED6ED0">
        <w:trPr>
          <w:trHeight w:val="165"/>
          <w:jc w:val="center"/>
        </w:trPr>
        <w:tc>
          <w:tcPr>
            <w:tcW w:w="671" w:type="dxa"/>
            <w:vMerge/>
          </w:tcPr>
          <w:p w14:paraId="586779FF" w14:textId="77777777" w:rsidR="005560ED" w:rsidRPr="00F310AC" w:rsidRDefault="005560ED" w:rsidP="00F350B1">
            <w:pPr>
              <w:pStyle w:val="a3"/>
              <w:kinsoku w:val="0"/>
              <w:overflowPunct w:val="0"/>
              <w:spacing w:after="24" w:line="219" w:lineRule="exact"/>
              <w:ind w:left="799" w:right="0" w:firstLine="0"/>
              <w:jc w:val="left"/>
              <w:rPr>
                <w:rFonts w:hAnsi="宋体"/>
                <w:sz w:val="20"/>
                <w:szCs w:val="20"/>
              </w:rPr>
            </w:pPr>
          </w:p>
        </w:tc>
        <w:tc>
          <w:tcPr>
            <w:tcW w:w="1238" w:type="dxa"/>
            <w:vMerge/>
            <w:vAlign w:val="center"/>
          </w:tcPr>
          <w:p w14:paraId="14C01AFC" w14:textId="77777777" w:rsidR="005560ED" w:rsidRPr="00F310AC" w:rsidRDefault="005560ED" w:rsidP="00F350B1">
            <w:pPr>
              <w:pStyle w:val="TableParagraph"/>
              <w:kinsoku w:val="0"/>
              <w:overflowPunct w:val="0"/>
              <w:spacing w:before="75"/>
              <w:jc w:val="center"/>
              <w:rPr>
                <w:rFonts w:hAnsi="宋体"/>
                <w:sz w:val="18"/>
                <w:szCs w:val="20"/>
              </w:rPr>
            </w:pPr>
          </w:p>
        </w:tc>
        <w:tc>
          <w:tcPr>
            <w:tcW w:w="7555" w:type="dxa"/>
            <w:gridSpan w:val="18"/>
            <w:vAlign w:val="center"/>
          </w:tcPr>
          <w:p w14:paraId="28D7E5E1" w14:textId="77777777" w:rsidR="005560ED" w:rsidRPr="005560ED" w:rsidRDefault="005560ED" w:rsidP="00F350B1">
            <w:pPr>
              <w:pStyle w:val="TableParagraph"/>
              <w:kinsoku w:val="0"/>
              <w:overflowPunct w:val="0"/>
              <w:jc w:val="center"/>
              <w:rPr>
                <w:rFonts w:hAnsi="宋体" w:cs="Times New Roman"/>
                <w:sz w:val="18"/>
                <w:szCs w:val="20"/>
              </w:rPr>
            </w:pPr>
            <w:r>
              <w:rPr>
                <w:rFonts w:hAnsi="宋体" w:cs="Times New Roman" w:hint="eastAsia"/>
                <w:sz w:val="18"/>
                <w:szCs w:val="20"/>
              </w:rPr>
              <w:t>注：须为</w:t>
            </w:r>
            <w:r w:rsidRPr="005560ED">
              <w:rPr>
                <w:rFonts w:hAnsi="宋体" w:cs="Times New Roman" w:hint="eastAsia"/>
                <w:sz w:val="18"/>
                <w:szCs w:val="20"/>
              </w:rPr>
              <w:t>在基金管理人直销开立场外基金账户时登记的银行账户</w:t>
            </w:r>
            <w:r>
              <w:rPr>
                <w:rFonts w:hAnsi="宋体" w:cs="Times New Roman" w:hint="eastAsia"/>
                <w:sz w:val="18"/>
                <w:szCs w:val="20"/>
              </w:rPr>
              <w:t>，并通过该银行账户向</w:t>
            </w:r>
            <w:r w:rsidRPr="005560ED">
              <w:rPr>
                <w:rFonts w:hAnsi="宋体" w:cs="Times New Roman" w:hint="eastAsia"/>
                <w:sz w:val="18"/>
                <w:szCs w:val="20"/>
              </w:rPr>
              <w:t>基金管理人指定的</w:t>
            </w:r>
            <w:r>
              <w:rPr>
                <w:rFonts w:hAnsi="宋体" w:cs="Times New Roman" w:hint="eastAsia"/>
                <w:sz w:val="18"/>
                <w:szCs w:val="20"/>
              </w:rPr>
              <w:t>账户划转认购款项</w:t>
            </w:r>
          </w:p>
        </w:tc>
      </w:tr>
      <w:tr w:rsidR="00ED6ED0" w14:paraId="03A07D5F" w14:textId="77777777" w:rsidTr="00ED6ED0">
        <w:trPr>
          <w:trHeight w:val="406"/>
          <w:jc w:val="center"/>
        </w:trPr>
        <w:tc>
          <w:tcPr>
            <w:tcW w:w="671" w:type="dxa"/>
            <w:vMerge w:val="restart"/>
            <w:vAlign w:val="center"/>
          </w:tcPr>
          <w:p w14:paraId="3050912E" w14:textId="77777777" w:rsidR="00ED6ED0" w:rsidRPr="007A052C" w:rsidRDefault="00ED6ED0" w:rsidP="00F350B1">
            <w:pPr>
              <w:pStyle w:val="TableParagraph"/>
              <w:kinsoku w:val="0"/>
              <w:overflowPunct w:val="0"/>
              <w:spacing w:line="331" w:lineRule="auto"/>
              <w:ind w:left="222" w:right="182"/>
              <w:jc w:val="both"/>
              <w:rPr>
                <w:rFonts w:hAnsi="宋体"/>
                <w:sz w:val="22"/>
                <w:szCs w:val="20"/>
              </w:rPr>
            </w:pPr>
            <w:r>
              <w:rPr>
                <w:rFonts w:hAnsi="宋体" w:hint="eastAsia"/>
                <w:sz w:val="22"/>
                <w:szCs w:val="20"/>
              </w:rPr>
              <w:t>认购</w:t>
            </w:r>
            <w:r w:rsidRPr="007A052C">
              <w:rPr>
                <w:rFonts w:hAnsi="宋体" w:hint="eastAsia"/>
                <w:sz w:val="22"/>
                <w:szCs w:val="20"/>
              </w:rPr>
              <w:t>信息</w:t>
            </w:r>
          </w:p>
        </w:tc>
        <w:tc>
          <w:tcPr>
            <w:tcW w:w="1238" w:type="dxa"/>
            <w:vAlign w:val="center"/>
          </w:tcPr>
          <w:p w14:paraId="1DDE5047" w14:textId="77777777" w:rsidR="00ED6ED0" w:rsidRPr="00F94736" w:rsidRDefault="00ED6ED0" w:rsidP="00F350B1">
            <w:pPr>
              <w:pStyle w:val="TableParagraph"/>
              <w:kinsoku w:val="0"/>
              <w:overflowPunct w:val="0"/>
              <w:spacing w:before="75"/>
              <w:jc w:val="center"/>
              <w:rPr>
                <w:rFonts w:hAnsi="宋体"/>
                <w:sz w:val="18"/>
                <w:szCs w:val="20"/>
              </w:rPr>
            </w:pPr>
            <w:r w:rsidRPr="00F94736">
              <w:rPr>
                <w:rFonts w:hAnsi="宋体" w:hint="eastAsia"/>
                <w:sz w:val="18"/>
                <w:szCs w:val="20"/>
              </w:rPr>
              <w:t>基金名称</w:t>
            </w:r>
          </w:p>
        </w:tc>
        <w:tc>
          <w:tcPr>
            <w:tcW w:w="3263" w:type="dxa"/>
            <w:gridSpan w:val="8"/>
            <w:vAlign w:val="center"/>
          </w:tcPr>
          <w:p w14:paraId="74BA80F7" w14:textId="77777777" w:rsidR="00ED6ED0" w:rsidRPr="00F94736" w:rsidRDefault="00ED6ED0" w:rsidP="00F350B1">
            <w:pPr>
              <w:pStyle w:val="TableParagraph"/>
              <w:kinsoku w:val="0"/>
              <w:overflowPunct w:val="0"/>
              <w:spacing w:before="75"/>
              <w:jc w:val="center"/>
              <w:rPr>
                <w:rFonts w:hAnsi="宋体"/>
                <w:sz w:val="18"/>
                <w:szCs w:val="20"/>
              </w:rPr>
            </w:pPr>
            <w:r w:rsidRPr="00F909FE">
              <w:rPr>
                <w:rFonts w:hAnsi="宋体" w:hint="eastAsia"/>
                <w:sz w:val="18"/>
                <w:szCs w:val="20"/>
              </w:rPr>
              <w:t>华夏基金华润有巢租赁住房封闭式基础设施证券投资基金</w:t>
            </w:r>
          </w:p>
        </w:tc>
        <w:tc>
          <w:tcPr>
            <w:tcW w:w="1414" w:type="dxa"/>
            <w:gridSpan w:val="3"/>
            <w:vAlign w:val="center"/>
          </w:tcPr>
          <w:p w14:paraId="31F28761" w14:textId="77777777" w:rsidR="00ED6ED0" w:rsidRPr="00F94736" w:rsidRDefault="00ED6ED0" w:rsidP="00F350B1">
            <w:pPr>
              <w:pStyle w:val="TableParagraph"/>
              <w:kinsoku w:val="0"/>
              <w:overflowPunct w:val="0"/>
              <w:spacing w:before="75"/>
              <w:jc w:val="center"/>
              <w:rPr>
                <w:rFonts w:hAnsi="宋体"/>
                <w:sz w:val="18"/>
                <w:szCs w:val="20"/>
              </w:rPr>
            </w:pPr>
            <w:r>
              <w:rPr>
                <w:rFonts w:hAnsi="宋体" w:hint="eastAsia"/>
                <w:sz w:val="18"/>
                <w:szCs w:val="20"/>
              </w:rPr>
              <w:t>基金代码</w:t>
            </w:r>
          </w:p>
        </w:tc>
        <w:tc>
          <w:tcPr>
            <w:tcW w:w="2878" w:type="dxa"/>
            <w:gridSpan w:val="7"/>
            <w:vAlign w:val="center"/>
          </w:tcPr>
          <w:p w14:paraId="4040739F" w14:textId="77777777" w:rsidR="00ED6ED0" w:rsidRPr="00F94736" w:rsidRDefault="00ED6ED0" w:rsidP="00F350B1">
            <w:pPr>
              <w:pStyle w:val="TableParagraph"/>
              <w:kinsoku w:val="0"/>
              <w:overflowPunct w:val="0"/>
              <w:spacing w:before="75"/>
              <w:jc w:val="center"/>
              <w:rPr>
                <w:rFonts w:hAnsi="宋体"/>
                <w:sz w:val="18"/>
                <w:szCs w:val="20"/>
              </w:rPr>
            </w:pPr>
            <w:r>
              <w:rPr>
                <w:rFonts w:hAnsi="宋体"/>
                <w:sz w:val="18"/>
                <w:szCs w:val="20"/>
              </w:rPr>
              <w:t>508077</w:t>
            </w:r>
          </w:p>
        </w:tc>
      </w:tr>
      <w:tr w:rsidR="00ED6ED0" w14:paraId="3EE484D9" w14:textId="77777777" w:rsidTr="00ED6ED0">
        <w:trPr>
          <w:trHeight w:val="400"/>
          <w:jc w:val="center"/>
        </w:trPr>
        <w:tc>
          <w:tcPr>
            <w:tcW w:w="671" w:type="dxa"/>
            <w:vMerge/>
          </w:tcPr>
          <w:p w14:paraId="3EF65A7D" w14:textId="77777777" w:rsidR="00ED6ED0" w:rsidRDefault="00ED6ED0" w:rsidP="00AB67DB">
            <w:pPr>
              <w:pStyle w:val="TableParagraph"/>
              <w:kinsoku w:val="0"/>
              <w:overflowPunct w:val="0"/>
              <w:spacing w:line="331" w:lineRule="auto"/>
              <w:ind w:left="222" w:right="182"/>
              <w:jc w:val="both"/>
              <w:rPr>
                <w:rFonts w:hAnsi="宋体"/>
                <w:sz w:val="22"/>
                <w:szCs w:val="20"/>
              </w:rPr>
            </w:pPr>
          </w:p>
        </w:tc>
        <w:tc>
          <w:tcPr>
            <w:tcW w:w="1238" w:type="dxa"/>
            <w:vMerge w:val="restart"/>
            <w:vAlign w:val="center"/>
          </w:tcPr>
          <w:p w14:paraId="0BFA3100"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sz w:val="18"/>
                <w:szCs w:val="20"/>
              </w:rPr>
              <w:t>*</w:t>
            </w:r>
            <w:r>
              <w:rPr>
                <w:rFonts w:hAnsi="宋体" w:hint="eastAsia"/>
                <w:sz w:val="18"/>
                <w:szCs w:val="20"/>
              </w:rPr>
              <w:t>认购份额</w:t>
            </w:r>
          </w:p>
        </w:tc>
        <w:tc>
          <w:tcPr>
            <w:tcW w:w="612" w:type="dxa"/>
            <w:vAlign w:val="center"/>
          </w:tcPr>
          <w:p w14:paraId="18367A56" w14:textId="77777777" w:rsidR="00ED6ED0" w:rsidRPr="00F94736" w:rsidRDefault="00ED6ED0" w:rsidP="00AB67DB">
            <w:pPr>
              <w:pStyle w:val="TableParagraph"/>
              <w:kinsoku w:val="0"/>
              <w:overflowPunct w:val="0"/>
              <w:spacing w:before="75"/>
              <w:jc w:val="center"/>
              <w:rPr>
                <w:rFonts w:hAnsi="宋体"/>
                <w:sz w:val="18"/>
                <w:szCs w:val="20"/>
              </w:rPr>
            </w:pPr>
          </w:p>
        </w:tc>
        <w:tc>
          <w:tcPr>
            <w:tcW w:w="631" w:type="dxa"/>
          </w:tcPr>
          <w:p w14:paraId="7CFFE498"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佰</w:t>
            </w:r>
          </w:p>
        </w:tc>
        <w:tc>
          <w:tcPr>
            <w:tcW w:w="631" w:type="dxa"/>
            <w:gridSpan w:val="2"/>
          </w:tcPr>
          <w:p w14:paraId="7FF193A0"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拾</w:t>
            </w:r>
          </w:p>
        </w:tc>
        <w:tc>
          <w:tcPr>
            <w:tcW w:w="631" w:type="dxa"/>
          </w:tcPr>
          <w:p w14:paraId="71B95D6E"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亿</w:t>
            </w:r>
          </w:p>
        </w:tc>
        <w:tc>
          <w:tcPr>
            <w:tcW w:w="631" w:type="dxa"/>
            <w:gridSpan w:val="2"/>
          </w:tcPr>
          <w:p w14:paraId="6F422BFC"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仟</w:t>
            </w:r>
          </w:p>
        </w:tc>
        <w:tc>
          <w:tcPr>
            <w:tcW w:w="631" w:type="dxa"/>
            <w:gridSpan w:val="2"/>
          </w:tcPr>
          <w:p w14:paraId="589E5975"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佰</w:t>
            </w:r>
          </w:p>
        </w:tc>
        <w:tc>
          <w:tcPr>
            <w:tcW w:w="632" w:type="dxa"/>
          </w:tcPr>
          <w:p w14:paraId="4DDAC188"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拾</w:t>
            </w:r>
          </w:p>
        </w:tc>
        <w:tc>
          <w:tcPr>
            <w:tcW w:w="631" w:type="dxa"/>
            <w:gridSpan w:val="3"/>
          </w:tcPr>
          <w:p w14:paraId="5C3F6B0D"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万</w:t>
            </w:r>
          </w:p>
        </w:tc>
        <w:tc>
          <w:tcPr>
            <w:tcW w:w="631" w:type="dxa"/>
          </w:tcPr>
          <w:p w14:paraId="07FABA1A"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仟</w:t>
            </w:r>
          </w:p>
        </w:tc>
        <w:tc>
          <w:tcPr>
            <w:tcW w:w="631" w:type="dxa"/>
            <w:gridSpan w:val="2"/>
          </w:tcPr>
          <w:p w14:paraId="38C22BE5"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佰</w:t>
            </w:r>
          </w:p>
        </w:tc>
        <w:tc>
          <w:tcPr>
            <w:tcW w:w="631" w:type="dxa"/>
          </w:tcPr>
          <w:p w14:paraId="0C1ACFBA"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拾</w:t>
            </w:r>
          </w:p>
        </w:tc>
        <w:tc>
          <w:tcPr>
            <w:tcW w:w="632" w:type="dxa"/>
          </w:tcPr>
          <w:p w14:paraId="7B9FDCBF" w14:textId="77777777" w:rsidR="00ED6ED0" w:rsidRPr="00F94736" w:rsidRDefault="00ED6ED0" w:rsidP="00AB67DB">
            <w:pPr>
              <w:pStyle w:val="TableParagraph"/>
              <w:kinsoku w:val="0"/>
              <w:overflowPunct w:val="0"/>
              <w:spacing w:before="75"/>
              <w:jc w:val="center"/>
              <w:rPr>
                <w:rFonts w:hAnsi="宋体"/>
                <w:sz w:val="18"/>
                <w:szCs w:val="20"/>
              </w:rPr>
            </w:pPr>
            <w:r>
              <w:rPr>
                <w:rFonts w:hAnsi="宋体" w:hint="eastAsia"/>
                <w:sz w:val="18"/>
                <w:szCs w:val="20"/>
              </w:rPr>
              <w:t>个</w:t>
            </w:r>
          </w:p>
        </w:tc>
      </w:tr>
      <w:tr w:rsidR="00ED6ED0" w14:paraId="3C4B6E55" w14:textId="77777777" w:rsidTr="00ED6ED0">
        <w:trPr>
          <w:trHeight w:val="400"/>
          <w:jc w:val="center"/>
        </w:trPr>
        <w:tc>
          <w:tcPr>
            <w:tcW w:w="671" w:type="dxa"/>
            <w:vMerge/>
          </w:tcPr>
          <w:p w14:paraId="5FC93D3D" w14:textId="77777777" w:rsidR="00ED6ED0" w:rsidRDefault="00ED6ED0" w:rsidP="00F350B1">
            <w:pPr>
              <w:pStyle w:val="TableParagraph"/>
              <w:kinsoku w:val="0"/>
              <w:overflowPunct w:val="0"/>
              <w:spacing w:line="331" w:lineRule="auto"/>
              <w:ind w:left="222" w:right="182"/>
              <w:jc w:val="both"/>
              <w:rPr>
                <w:rFonts w:hAnsi="宋体"/>
                <w:sz w:val="22"/>
                <w:szCs w:val="20"/>
              </w:rPr>
            </w:pPr>
          </w:p>
        </w:tc>
        <w:tc>
          <w:tcPr>
            <w:tcW w:w="1238" w:type="dxa"/>
            <w:vMerge/>
            <w:vAlign w:val="center"/>
          </w:tcPr>
          <w:p w14:paraId="463F4725" w14:textId="77777777" w:rsidR="00ED6ED0" w:rsidRDefault="00ED6ED0" w:rsidP="00F350B1">
            <w:pPr>
              <w:pStyle w:val="TableParagraph"/>
              <w:kinsoku w:val="0"/>
              <w:overflowPunct w:val="0"/>
              <w:spacing w:before="75"/>
              <w:jc w:val="center"/>
              <w:rPr>
                <w:rFonts w:hAnsi="宋体"/>
                <w:sz w:val="18"/>
                <w:szCs w:val="20"/>
              </w:rPr>
            </w:pPr>
          </w:p>
        </w:tc>
        <w:tc>
          <w:tcPr>
            <w:tcW w:w="612" w:type="dxa"/>
            <w:vAlign w:val="center"/>
          </w:tcPr>
          <w:p w14:paraId="04992532" w14:textId="77777777" w:rsidR="00ED6ED0" w:rsidRPr="00F94736" w:rsidRDefault="00ED6ED0" w:rsidP="00F350B1">
            <w:pPr>
              <w:pStyle w:val="TableParagraph"/>
              <w:kinsoku w:val="0"/>
              <w:overflowPunct w:val="0"/>
              <w:spacing w:before="75"/>
              <w:jc w:val="center"/>
              <w:rPr>
                <w:rFonts w:hAnsi="宋体"/>
                <w:sz w:val="18"/>
                <w:szCs w:val="20"/>
              </w:rPr>
            </w:pPr>
            <w:r>
              <w:rPr>
                <w:rFonts w:hAnsi="宋体" w:hint="eastAsia"/>
                <w:sz w:val="18"/>
                <w:szCs w:val="20"/>
              </w:rPr>
              <w:t>大写</w:t>
            </w:r>
          </w:p>
        </w:tc>
        <w:tc>
          <w:tcPr>
            <w:tcW w:w="631" w:type="dxa"/>
            <w:vAlign w:val="center"/>
          </w:tcPr>
          <w:p w14:paraId="02349EF9"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37C36596"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vAlign w:val="center"/>
          </w:tcPr>
          <w:p w14:paraId="5E1D0EFF"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1BD545E0"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5FE651CE" w14:textId="77777777" w:rsidR="00ED6ED0" w:rsidRPr="00F94736" w:rsidRDefault="00ED6ED0" w:rsidP="00F350B1">
            <w:pPr>
              <w:pStyle w:val="TableParagraph"/>
              <w:kinsoku w:val="0"/>
              <w:overflowPunct w:val="0"/>
              <w:spacing w:before="75"/>
              <w:jc w:val="center"/>
              <w:rPr>
                <w:rFonts w:hAnsi="宋体"/>
                <w:sz w:val="18"/>
                <w:szCs w:val="20"/>
              </w:rPr>
            </w:pPr>
          </w:p>
        </w:tc>
        <w:tc>
          <w:tcPr>
            <w:tcW w:w="632" w:type="dxa"/>
            <w:vAlign w:val="center"/>
          </w:tcPr>
          <w:p w14:paraId="21DD24DA"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3"/>
            <w:vAlign w:val="center"/>
          </w:tcPr>
          <w:p w14:paraId="3BDB90F1"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vAlign w:val="center"/>
          </w:tcPr>
          <w:p w14:paraId="71544DE8"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4A3DADC0"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vAlign w:val="center"/>
          </w:tcPr>
          <w:p w14:paraId="3B3F6AF4" w14:textId="77777777" w:rsidR="00ED6ED0" w:rsidRPr="00F94736" w:rsidRDefault="00ED6ED0" w:rsidP="00F350B1">
            <w:pPr>
              <w:pStyle w:val="TableParagraph"/>
              <w:kinsoku w:val="0"/>
              <w:overflowPunct w:val="0"/>
              <w:spacing w:before="75"/>
              <w:jc w:val="center"/>
              <w:rPr>
                <w:rFonts w:hAnsi="宋体"/>
                <w:sz w:val="18"/>
                <w:szCs w:val="20"/>
              </w:rPr>
            </w:pPr>
          </w:p>
        </w:tc>
        <w:tc>
          <w:tcPr>
            <w:tcW w:w="632" w:type="dxa"/>
            <w:vAlign w:val="center"/>
          </w:tcPr>
          <w:p w14:paraId="0AF6E211" w14:textId="77777777" w:rsidR="00ED6ED0" w:rsidRPr="00F94736" w:rsidRDefault="00ED6ED0" w:rsidP="00F350B1">
            <w:pPr>
              <w:pStyle w:val="TableParagraph"/>
              <w:kinsoku w:val="0"/>
              <w:overflowPunct w:val="0"/>
              <w:spacing w:before="75"/>
              <w:jc w:val="center"/>
              <w:rPr>
                <w:rFonts w:hAnsi="宋体"/>
                <w:sz w:val="18"/>
                <w:szCs w:val="20"/>
              </w:rPr>
            </w:pPr>
          </w:p>
        </w:tc>
      </w:tr>
      <w:tr w:rsidR="00ED6ED0" w14:paraId="71D66221" w14:textId="77777777" w:rsidTr="00ED6ED0">
        <w:trPr>
          <w:trHeight w:val="400"/>
          <w:jc w:val="center"/>
        </w:trPr>
        <w:tc>
          <w:tcPr>
            <w:tcW w:w="671" w:type="dxa"/>
            <w:vMerge/>
          </w:tcPr>
          <w:p w14:paraId="34D489A6" w14:textId="77777777" w:rsidR="00ED6ED0" w:rsidRDefault="00ED6ED0" w:rsidP="00F350B1">
            <w:pPr>
              <w:pStyle w:val="TableParagraph"/>
              <w:kinsoku w:val="0"/>
              <w:overflowPunct w:val="0"/>
              <w:spacing w:line="331" w:lineRule="auto"/>
              <w:ind w:left="222" w:right="182"/>
              <w:jc w:val="both"/>
              <w:rPr>
                <w:rFonts w:hAnsi="宋体"/>
                <w:sz w:val="22"/>
                <w:szCs w:val="20"/>
              </w:rPr>
            </w:pPr>
          </w:p>
        </w:tc>
        <w:tc>
          <w:tcPr>
            <w:tcW w:w="1238" w:type="dxa"/>
            <w:vMerge/>
            <w:vAlign w:val="center"/>
          </w:tcPr>
          <w:p w14:paraId="58B165D1" w14:textId="77777777" w:rsidR="00ED6ED0" w:rsidRDefault="00ED6ED0" w:rsidP="00F350B1">
            <w:pPr>
              <w:pStyle w:val="TableParagraph"/>
              <w:kinsoku w:val="0"/>
              <w:overflowPunct w:val="0"/>
              <w:spacing w:before="75"/>
              <w:jc w:val="center"/>
              <w:rPr>
                <w:rFonts w:hAnsi="宋体"/>
                <w:sz w:val="18"/>
                <w:szCs w:val="20"/>
              </w:rPr>
            </w:pPr>
          </w:p>
        </w:tc>
        <w:tc>
          <w:tcPr>
            <w:tcW w:w="612" w:type="dxa"/>
            <w:vAlign w:val="center"/>
          </w:tcPr>
          <w:p w14:paraId="289BEBD4" w14:textId="77777777" w:rsidR="00ED6ED0" w:rsidRDefault="00ED6ED0" w:rsidP="00F350B1">
            <w:pPr>
              <w:pStyle w:val="TableParagraph"/>
              <w:kinsoku w:val="0"/>
              <w:overflowPunct w:val="0"/>
              <w:spacing w:before="75"/>
              <w:jc w:val="center"/>
              <w:rPr>
                <w:rFonts w:hAnsi="宋体"/>
                <w:sz w:val="18"/>
                <w:szCs w:val="20"/>
              </w:rPr>
            </w:pPr>
            <w:r>
              <w:rPr>
                <w:rFonts w:hAnsi="宋体" w:hint="eastAsia"/>
                <w:sz w:val="18"/>
                <w:szCs w:val="20"/>
              </w:rPr>
              <w:t>小写</w:t>
            </w:r>
          </w:p>
        </w:tc>
        <w:tc>
          <w:tcPr>
            <w:tcW w:w="631" w:type="dxa"/>
            <w:vAlign w:val="center"/>
          </w:tcPr>
          <w:p w14:paraId="00B2E2E2"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69B6BAC9"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vAlign w:val="center"/>
          </w:tcPr>
          <w:p w14:paraId="2228A430"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0C2F8B59"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17019ADE" w14:textId="77777777" w:rsidR="00ED6ED0" w:rsidRPr="00F94736" w:rsidRDefault="00ED6ED0" w:rsidP="00F350B1">
            <w:pPr>
              <w:pStyle w:val="TableParagraph"/>
              <w:kinsoku w:val="0"/>
              <w:overflowPunct w:val="0"/>
              <w:spacing w:before="75"/>
              <w:jc w:val="center"/>
              <w:rPr>
                <w:rFonts w:hAnsi="宋体"/>
                <w:sz w:val="18"/>
                <w:szCs w:val="20"/>
              </w:rPr>
            </w:pPr>
          </w:p>
        </w:tc>
        <w:tc>
          <w:tcPr>
            <w:tcW w:w="632" w:type="dxa"/>
            <w:vAlign w:val="center"/>
          </w:tcPr>
          <w:p w14:paraId="339EFFB4"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3"/>
            <w:vAlign w:val="center"/>
          </w:tcPr>
          <w:p w14:paraId="75C47A0C"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vAlign w:val="center"/>
          </w:tcPr>
          <w:p w14:paraId="0D8B2083"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gridSpan w:val="2"/>
            <w:vAlign w:val="center"/>
          </w:tcPr>
          <w:p w14:paraId="2D6B08B3" w14:textId="77777777" w:rsidR="00ED6ED0" w:rsidRPr="00F94736" w:rsidRDefault="00ED6ED0" w:rsidP="00F350B1">
            <w:pPr>
              <w:pStyle w:val="TableParagraph"/>
              <w:kinsoku w:val="0"/>
              <w:overflowPunct w:val="0"/>
              <w:spacing w:before="75"/>
              <w:jc w:val="center"/>
              <w:rPr>
                <w:rFonts w:hAnsi="宋体"/>
                <w:sz w:val="18"/>
                <w:szCs w:val="20"/>
              </w:rPr>
            </w:pPr>
          </w:p>
        </w:tc>
        <w:tc>
          <w:tcPr>
            <w:tcW w:w="631" w:type="dxa"/>
            <w:vAlign w:val="center"/>
          </w:tcPr>
          <w:p w14:paraId="7E397CF6" w14:textId="77777777" w:rsidR="00ED6ED0" w:rsidRPr="00F94736" w:rsidRDefault="00ED6ED0" w:rsidP="00F350B1">
            <w:pPr>
              <w:pStyle w:val="TableParagraph"/>
              <w:kinsoku w:val="0"/>
              <w:overflowPunct w:val="0"/>
              <w:spacing w:before="75"/>
              <w:jc w:val="center"/>
              <w:rPr>
                <w:rFonts w:hAnsi="宋体"/>
                <w:sz w:val="18"/>
                <w:szCs w:val="20"/>
              </w:rPr>
            </w:pPr>
          </w:p>
        </w:tc>
        <w:tc>
          <w:tcPr>
            <w:tcW w:w="632" w:type="dxa"/>
            <w:vAlign w:val="center"/>
          </w:tcPr>
          <w:p w14:paraId="7E7BE392" w14:textId="77777777" w:rsidR="00ED6ED0" w:rsidRPr="00F94736" w:rsidRDefault="00ED6ED0" w:rsidP="00F350B1">
            <w:pPr>
              <w:pStyle w:val="TableParagraph"/>
              <w:kinsoku w:val="0"/>
              <w:overflowPunct w:val="0"/>
              <w:spacing w:before="75"/>
              <w:jc w:val="center"/>
              <w:rPr>
                <w:rFonts w:hAnsi="宋体"/>
                <w:sz w:val="18"/>
                <w:szCs w:val="20"/>
              </w:rPr>
            </w:pPr>
          </w:p>
        </w:tc>
      </w:tr>
      <w:tr w:rsidR="00ED6ED0" w14:paraId="2115121E" w14:textId="77777777" w:rsidTr="00ED6ED0">
        <w:trPr>
          <w:trHeight w:val="400"/>
          <w:jc w:val="center"/>
        </w:trPr>
        <w:tc>
          <w:tcPr>
            <w:tcW w:w="671" w:type="dxa"/>
            <w:vMerge/>
          </w:tcPr>
          <w:p w14:paraId="487F8333" w14:textId="77777777" w:rsidR="00ED6ED0" w:rsidRDefault="00ED6ED0" w:rsidP="00F350B1">
            <w:pPr>
              <w:pStyle w:val="TableParagraph"/>
              <w:kinsoku w:val="0"/>
              <w:overflowPunct w:val="0"/>
              <w:spacing w:line="331" w:lineRule="auto"/>
              <w:ind w:left="222" w:right="182"/>
              <w:jc w:val="both"/>
              <w:rPr>
                <w:rFonts w:hAnsi="宋体"/>
                <w:sz w:val="22"/>
                <w:szCs w:val="20"/>
              </w:rPr>
            </w:pPr>
          </w:p>
        </w:tc>
        <w:tc>
          <w:tcPr>
            <w:tcW w:w="1238" w:type="dxa"/>
            <w:vMerge/>
            <w:vAlign w:val="center"/>
          </w:tcPr>
          <w:p w14:paraId="5ED91511" w14:textId="77777777" w:rsidR="00ED6ED0" w:rsidRDefault="00ED6ED0" w:rsidP="00F350B1">
            <w:pPr>
              <w:pStyle w:val="TableParagraph"/>
              <w:kinsoku w:val="0"/>
              <w:overflowPunct w:val="0"/>
              <w:spacing w:before="75"/>
              <w:jc w:val="center"/>
              <w:rPr>
                <w:rFonts w:hAnsi="宋体"/>
                <w:sz w:val="18"/>
                <w:szCs w:val="20"/>
              </w:rPr>
            </w:pPr>
          </w:p>
        </w:tc>
        <w:tc>
          <w:tcPr>
            <w:tcW w:w="7555" w:type="dxa"/>
            <w:gridSpan w:val="18"/>
            <w:vAlign w:val="center"/>
          </w:tcPr>
          <w:p w14:paraId="490A0956" w14:textId="05EC1C63" w:rsidR="00ED6ED0" w:rsidRPr="00F94736" w:rsidRDefault="00ED6ED0" w:rsidP="00F350B1">
            <w:pPr>
              <w:pStyle w:val="TableParagraph"/>
              <w:kinsoku w:val="0"/>
              <w:overflowPunct w:val="0"/>
              <w:spacing w:before="75"/>
              <w:jc w:val="center"/>
              <w:rPr>
                <w:rFonts w:hAnsi="宋体"/>
                <w:sz w:val="18"/>
                <w:szCs w:val="20"/>
              </w:rPr>
            </w:pPr>
            <w:r>
              <w:rPr>
                <w:rFonts w:hAnsi="宋体" w:hint="eastAsia"/>
                <w:sz w:val="18"/>
                <w:szCs w:val="20"/>
              </w:rPr>
              <w:t>注：认购份额</w:t>
            </w:r>
            <w:r>
              <w:rPr>
                <w:rFonts w:hAnsi="宋体"/>
                <w:sz w:val="18"/>
                <w:szCs w:val="20"/>
              </w:rPr>
              <w:t>=</w:t>
            </w:r>
            <w:r>
              <w:rPr>
                <w:rFonts w:hAnsi="宋体" w:hint="eastAsia"/>
                <w:sz w:val="18"/>
                <w:szCs w:val="20"/>
              </w:rPr>
              <w:t>场内证券账户持有本基金份额数×配售比例，计算结果向上取整至</w:t>
            </w:r>
            <w:r>
              <w:rPr>
                <w:rFonts w:hAnsi="宋体"/>
                <w:sz w:val="18"/>
                <w:szCs w:val="20"/>
              </w:rPr>
              <w:t>1</w:t>
            </w:r>
            <w:r>
              <w:rPr>
                <w:rFonts w:hAnsi="宋体" w:hint="eastAsia"/>
                <w:sz w:val="18"/>
                <w:szCs w:val="20"/>
              </w:rPr>
              <w:t>份，持有多个场内证券账户的，应按账户填写多张认购</w:t>
            </w:r>
            <w:r w:rsidR="00172144">
              <w:rPr>
                <w:rFonts w:hAnsi="宋体" w:hint="eastAsia"/>
                <w:sz w:val="18"/>
                <w:szCs w:val="20"/>
              </w:rPr>
              <w:t>单</w:t>
            </w:r>
            <w:r>
              <w:rPr>
                <w:rFonts w:hAnsi="宋体" w:hint="eastAsia"/>
                <w:sz w:val="18"/>
                <w:szCs w:val="20"/>
              </w:rPr>
              <w:t>。计算规则详见本基金发售公告</w:t>
            </w:r>
          </w:p>
        </w:tc>
      </w:tr>
      <w:tr w:rsidR="00ED6ED0" w14:paraId="0C8E93B3" w14:textId="77777777" w:rsidTr="00ED6ED0">
        <w:trPr>
          <w:trHeight w:val="400"/>
          <w:jc w:val="center"/>
        </w:trPr>
        <w:tc>
          <w:tcPr>
            <w:tcW w:w="671" w:type="dxa"/>
            <w:vMerge/>
          </w:tcPr>
          <w:p w14:paraId="4064D5A0" w14:textId="77777777" w:rsidR="00ED6ED0" w:rsidRDefault="00ED6ED0" w:rsidP="00F909FE">
            <w:pPr>
              <w:pStyle w:val="TableParagraph"/>
              <w:kinsoku w:val="0"/>
              <w:overflowPunct w:val="0"/>
              <w:spacing w:line="331" w:lineRule="auto"/>
              <w:ind w:left="222" w:right="182"/>
              <w:jc w:val="both"/>
              <w:rPr>
                <w:rFonts w:hAnsi="宋体"/>
                <w:sz w:val="22"/>
                <w:szCs w:val="20"/>
              </w:rPr>
            </w:pPr>
          </w:p>
        </w:tc>
        <w:tc>
          <w:tcPr>
            <w:tcW w:w="1238" w:type="dxa"/>
            <w:vMerge w:val="restart"/>
            <w:vAlign w:val="center"/>
          </w:tcPr>
          <w:p w14:paraId="776434F6" w14:textId="77777777" w:rsidR="00ED6ED0" w:rsidRDefault="00ED6ED0" w:rsidP="00F909FE">
            <w:pPr>
              <w:pStyle w:val="TableParagraph"/>
              <w:kinsoku w:val="0"/>
              <w:overflowPunct w:val="0"/>
              <w:spacing w:before="75"/>
              <w:jc w:val="center"/>
              <w:rPr>
                <w:rFonts w:hAnsi="宋体"/>
                <w:sz w:val="18"/>
                <w:szCs w:val="20"/>
              </w:rPr>
            </w:pPr>
            <w:r>
              <w:rPr>
                <w:rFonts w:hAnsi="宋体"/>
                <w:sz w:val="18"/>
                <w:szCs w:val="20"/>
              </w:rPr>
              <w:t>*</w:t>
            </w:r>
            <w:r>
              <w:rPr>
                <w:rFonts w:hAnsi="宋体" w:hint="eastAsia"/>
                <w:sz w:val="18"/>
                <w:szCs w:val="20"/>
              </w:rPr>
              <w:t>认购金额</w:t>
            </w:r>
          </w:p>
        </w:tc>
        <w:tc>
          <w:tcPr>
            <w:tcW w:w="612" w:type="dxa"/>
            <w:vAlign w:val="center"/>
          </w:tcPr>
          <w:p w14:paraId="5A50B967" w14:textId="77777777" w:rsidR="00ED6ED0" w:rsidRDefault="00ED6ED0" w:rsidP="00F909FE">
            <w:pPr>
              <w:pStyle w:val="TableParagraph"/>
              <w:kinsoku w:val="0"/>
              <w:overflowPunct w:val="0"/>
              <w:spacing w:before="75"/>
              <w:jc w:val="center"/>
              <w:rPr>
                <w:rFonts w:hAnsi="宋体"/>
                <w:sz w:val="18"/>
                <w:szCs w:val="20"/>
              </w:rPr>
            </w:pPr>
          </w:p>
        </w:tc>
        <w:tc>
          <w:tcPr>
            <w:tcW w:w="631" w:type="dxa"/>
          </w:tcPr>
          <w:p w14:paraId="65E57DF5"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亿</w:t>
            </w:r>
          </w:p>
        </w:tc>
        <w:tc>
          <w:tcPr>
            <w:tcW w:w="631" w:type="dxa"/>
            <w:gridSpan w:val="2"/>
          </w:tcPr>
          <w:p w14:paraId="301DFC2B"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仟</w:t>
            </w:r>
          </w:p>
        </w:tc>
        <w:tc>
          <w:tcPr>
            <w:tcW w:w="631" w:type="dxa"/>
          </w:tcPr>
          <w:p w14:paraId="095FC123"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佰</w:t>
            </w:r>
          </w:p>
        </w:tc>
        <w:tc>
          <w:tcPr>
            <w:tcW w:w="631" w:type="dxa"/>
            <w:gridSpan w:val="2"/>
          </w:tcPr>
          <w:p w14:paraId="39810214"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拾</w:t>
            </w:r>
          </w:p>
        </w:tc>
        <w:tc>
          <w:tcPr>
            <w:tcW w:w="631" w:type="dxa"/>
            <w:gridSpan w:val="2"/>
          </w:tcPr>
          <w:p w14:paraId="2539931B"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万</w:t>
            </w:r>
          </w:p>
        </w:tc>
        <w:tc>
          <w:tcPr>
            <w:tcW w:w="632" w:type="dxa"/>
          </w:tcPr>
          <w:p w14:paraId="2CCD447B"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仟</w:t>
            </w:r>
          </w:p>
        </w:tc>
        <w:tc>
          <w:tcPr>
            <w:tcW w:w="631" w:type="dxa"/>
            <w:gridSpan w:val="3"/>
          </w:tcPr>
          <w:p w14:paraId="59C8FC12"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佰</w:t>
            </w:r>
          </w:p>
        </w:tc>
        <w:tc>
          <w:tcPr>
            <w:tcW w:w="631" w:type="dxa"/>
          </w:tcPr>
          <w:p w14:paraId="0E7B3321"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拾</w:t>
            </w:r>
          </w:p>
        </w:tc>
        <w:tc>
          <w:tcPr>
            <w:tcW w:w="631" w:type="dxa"/>
            <w:gridSpan w:val="2"/>
          </w:tcPr>
          <w:p w14:paraId="276544BE"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圆</w:t>
            </w:r>
          </w:p>
        </w:tc>
        <w:tc>
          <w:tcPr>
            <w:tcW w:w="631" w:type="dxa"/>
          </w:tcPr>
          <w:p w14:paraId="730AF8FF"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角</w:t>
            </w:r>
          </w:p>
        </w:tc>
        <w:tc>
          <w:tcPr>
            <w:tcW w:w="632" w:type="dxa"/>
          </w:tcPr>
          <w:p w14:paraId="06FF55E3"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分</w:t>
            </w:r>
          </w:p>
        </w:tc>
      </w:tr>
      <w:tr w:rsidR="00ED6ED0" w14:paraId="5FF0E188" w14:textId="77777777" w:rsidTr="00ED6ED0">
        <w:trPr>
          <w:trHeight w:val="400"/>
          <w:jc w:val="center"/>
        </w:trPr>
        <w:tc>
          <w:tcPr>
            <w:tcW w:w="671" w:type="dxa"/>
            <w:vMerge/>
          </w:tcPr>
          <w:p w14:paraId="54C4F046" w14:textId="77777777" w:rsidR="00ED6ED0" w:rsidRDefault="00ED6ED0" w:rsidP="00F909FE">
            <w:pPr>
              <w:pStyle w:val="TableParagraph"/>
              <w:kinsoku w:val="0"/>
              <w:overflowPunct w:val="0"/>
              <w:spacing w:line="331" w:lineRule="auto"/>
              <w:ind w:left="222" w:right="182"/>
              <w:jc w:val="both"/>
              <w:rPr>
                <w:rFonts w:hAnsi="宋体"/>
                <w:sz w:val="22"/>
                <w:szCs w:val="20"/>
              </w:rPr>
            </w:pPr>
          </w:p>
        </w:tc>
        <w:tc>
          <w:tcPr>
            <w:tcW w:w="1238" w:type="dxa"/>
            <w:vMerge/>
            <w:vAlign w:val="center"/>
          </w:tcPr>
          <w:p w14:paraId="22429AC1" w14:textId="77777777" w:rsidR="00ED6ED0" w:rsidRDefault="00ED6ED0" w:rsidP="00F909FE">
            <w:pPr>
              <w:pStyle w:val="TableParagraph"/>
              <w:kinsoku w:val="0"/>
              <w:overflowPunct w:val="0"/>
              <w:spacing w:before="75"/>
              <w:jc w:val="center"/>
              <w:rPr>
                <w:rFonts w:hAnsi="宋体"/>
                <w:sz w:val="18"/>
                <w:szCs w:val="20"/>
              </w:rPr>
            </w:pPr>
          </w:p>
        </w:tc>
        <w:tc>
          <w:tcPr>
            <w:tcW w:w="612" w:type="dxa"/>
            <w:vAlign w:val="center"/>
          </w:tcPr>
          <w:p w14:paraId="7037921C" w14:textId="77777777" w:rsidR="00ED6ED0" w:rsidRDefault="00ED6ED0" w:rsidP="00F909FE">
            <w:pPr>
              <w:pStyle w:val="TableParagraph"/>
              <w:kinsoku w:val="0"/>
              <w:overflowPunct w:val="0"/>
              <w:spacing w:before="75"/>
              <w:jc w:val="center"/>
              <w:rPr>
                <w:rFonts w:hAnsi="宋体"/>
                <w:sz w:val="18"/>
                <w:szCs w:val="20"/>
              </w:rPr>
            </w:pPr>
            <w:r>
              <w:rPr>
                <w:rFonts w:hAnsi="宋体" w:hint="eastAsia"/>
                <w:sz w:val="18"/>
                <w:szCs w:val="20"/>
              </w:rPr>
              <w:t>大写</w:t>
            </w:r>
          </w:p>
        </w:tc>
        <w:tc>
          <w:tcPr>
            <w:tcW w:w="631" w:type="dxa"/>
            <w:vAlign w:val="center"/>
          </w:tcPr>
          <w:p w14:paraId="1EED3EA0"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0E883CBF"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vAlign w:val="center"/>
          </w:tcPr>
          <w:p w14:paraId="1B8F1CD8"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5C523973"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5972C658" w14:textId="77777777" w:rsidR="00ED6ED0" w:rsidRPr="00F94736" w:rsidRDefault="00ED6ED0" w:rsidP="00F909FE">
            <w:pPr>
              <w:pStyle w:val="TableParagraph"/>
              <w:kinsoku w:val="0"/>
              <w:overflowPunct w:val="0"/>
              <w:spacing w:before="75"/>
              <w:jc w:val="center"/>
              <w:rPr>
                <w:rFonts w:hAnsi="宋体"/>
                <w:sz w:val="18"/>
                <w:szCs w:val="20"/>
              </w:rPr>
            </w:pPr>
          </w:p>
        </w:tc>
        <w:tc>
          <w:tcPr>
            <w:tcW w:w="632" w:type="dxa"/>
            <w:vAlign w:val="center"/>
          </w:tcPr>
          <w:p w14:paraId="23300872"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3"/>
            <w:vAlign w:val="center"/>
          </w:tcPr>
          <w:p w14:paraId="04C0B52A"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vAlign w:val="center"/>
          </w:tcPr>
          <w:p w14:paraId="6FF2C520"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4F8157A8"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vAlign w:val="center"/>
          </w:tcPr>
          <w:p w14:paraId="300CABC3" w14:textId="77777777" w:rsidR="00ED6ED0" w:rsidRPr="00F94736" w:rsidRDefault="00ED6ED0" w:rsidP="00F909FE">
            <w:pPr>
              <w:pStyle w:val="TableParagraph"/>
              <w:kinsoku w:val="0"/>
              <w:overflowPunct w:val="0"/>
              <w:spacing w:before="75"/>
              <w:jc w:val="center"/>
              <w:rPr>
                <w:rFonts w:hAnsi="宋体"/>
                <w:sz w:val="18"/>
                <w:szCs w:val="20"/>
              </w:rPr>
            </w:pPr>
          </w:p>
        </w:tc>
        <w:tc>
          <w:tcPr>
            <w:tcW w:w="632" w:type="dxa"/>
            <w:vAlign w:val="center"/>
          </w:tcPr>
          <w:p w14:paraId="7126289C" w14:textId="77777777" w:rsidR="00ED6ED0" w:rsidRPr="00F94736" w:rsidRDefault="00ED6ED0" w:rsidP="00F909FE">
            <w:pPr>
              <w:pStyle w:val="TableParagraph"/>
              <w:kinsoku w:val="0"/>
              <w:overflowPunct w:val="0"/>
              <w:spacing w:before="75"/>
              <w:jc w:val="center"/>
              <w:rPr>
                <w:rFonts w:hAnsi="宋体"/>
                <w:sz w:val="18"/>
                <w:szCs w:val="20"/>
              </w:rPr>
            </w:pPr>
          </w:p>
        </w:tc>
      </w:tr>
      <w:tr w:rsidR="00ED6ED0" w14:paraId="11725DAF" w14:textId="77777777" w:rsidTr="00ED6ED0">
        <w:trPr>
          <w:trHeight w:val="400"/>
          <w:jc w:val="center"/>
        </w:trPr>
        <w:tc>
          <w:tcPr>
            <w:tcW w:w="671" w:type="dxa"/>
            <w:vMerge/>
          </w:tcPr>
          <w:p w14:paraId="3708F7CC" w14:textId="77777777" w:rsidR="00ED6ED0" w:rsidRDefault="00ED6ED0" w:rsidP="00F909FE">
            <w:pPr>
              <w:pStyle w:val="TableParagraph"/>
              <w:kinsoku w:val="0"/>
              <w:overflowPunct w:val="0"/>
              <w:spacing w:line="331" w:lineRule="auto"/>
              <w:ind w:left="222" w:right="182"/>
              <w:jc w:val="both"/>
              <w:rPr>
                <w:rFonts w:hAnsi="宋体"/>
                <w:sz w:val="22"/>
                <w:szCs w:val="20"/>
              </w:rPr>
            </w:pPr>
          </w:p>
        </w:tc>
        <w:tc>
          <w:tcPr>
            <w:tcW w:w="1238" w:type="dxa"/>
            <w:vMerge/>
            <w:vAlign w:val="center"/>
          </w:tcPr>
          <w:p w14:paraId="6E171B55" w14:textId="77777777" w:rsidR="00ED6ED0" w:rsidRDefault="00ED6ED0" w:rsidP="00F909FE">
            <w:pPr>
              <w:pStyle w:val="TableParagraph"/>
              <w:kinsoku w:val="0"/>
              <w:overflowPunct w:val="0"/>
              <w:spacing w:before="75"/>
              <w:jc w:val="center"/>
              <w:rPr>
                <w:rFonts w:hAnsi="宋体"/>
                <w:sz w:val="18"/>
                <w:szCs w:val="20"/>
              </w:rPr>
            </w:pPr>
          </w:p>
        </w:tc>
        <w:tc>
          <w:tcPr>
            <w:tcW w:w="612" w:type="dxa"/>
            <w:vAlign w:val="center"/>
          </w:tcPr>
          <w:p w14:paraId="07807E00" w14:textId="77777777" w:rsidR="00ED6ED0" w:rsidRDefault="00ED6ED0" w:rsidP="00F909FE">
            <w:pPr>
              <w:pStyle w:val="TableParagraph"/>
              <w:kinsoku w:val="0"/>
              <w:overflowPunct w:val="0"/>
              <w:spacing w:before="75"/>
              <w:jc w:val="center"/>
              <w:rPr>
                <w:rFonts w:hAnsi="宋体"/>
                <w:sz w:val="18"/>
                <w:szCs w:val="20"/>
              </w:rPr>
            </w:pPr>
            <w:r>
              <w:rPr>
                <w:rFonts w:hAnsi="宋体" w:hint="eastAsia"/>
                <w:sz w:val="18"/>
                <w:szCs w:val="20"/>
              </w:rPr>
              <w:t>小写</w:t>
            </w:r>
          </w:p>
        </w:tc>
        <w:tc>
          <w:tcPr>
            <w:tcW w:w="631" w:type="dxa"/>
            <w:vAlign w:val="center"/>
          </w:tcPr>
          <w:p w14:paraId="676E6BB0"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122626CB"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vAlign w:val="center"/>
          </w:tcPr>
          <w:p w14:paraId="5CAAE3C8"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22F145AD"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1D0AC568" w14:textId="77777777" w:rsidR="00ED6ED0" w:rsidRPr="00F94736" w:rsidRDefault="00ED6ED0" w:rsidP="00F909FE">
            <w:pPr>
              <w:pStyle w:val="TableParagraph"/>
              <w:kinsoku w:val="0"/>
              <w:overflowPunct w:val="0"/>
              <w:spacing w:before="75"/>
              <w:jc w:val="center"/>
              <w:rPr>
                <w:rFonts w:hAnsi="宋体"/>
                <w:sz w:val="18"/>
                <w:szCs w:val="20"/>
              </w:rPr>
            </w:pPr>
          </w:p>
        </w:tc>
        <w:tc>
          <w:tcPr>
            <w:tcW w:w="632" w:type="dxa"/>
            <w:vAlign w:val="center"/>
          </w:tcPr>
          <w:p w14:paraId="4143EC2A"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3"/>
            <w:vAlign w:val="center"/>
          </w:tcPr>
          <w:p w14:paraId="65C7E8BD"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vAlign w:val="center"/>
          </w:tcPr>
          <w:p w14:paraId="41388090"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gridSpan w:val="2"/>
            <w:vAlign w:val="center"/>
          </w:tcPr>
          <w:p w14:paraId="2FA8EF5A" w14:textId="77777777" w:rsidR="00ED6ED0" w:rsidRPr="00F94736" w:rsidRDefault="00ED6ED0" w:rsidP="00F909FE">
            <w:pPr>
              <w:pStyle w:val="TableParagraph"/>
              <w:kinsoku w:val="0"/>
              <w:overflowPunct w:val="0"/>
              <w:spacing w:before="75"/>
              <w:jc w:val="center"/>
              <w:rPr>
                <w:rFonts w:hAnsi="宋体"/>
                <w:sz w:val="18"/>
                <w:szCs w:val="20"/>
              </w:rPr>
            </w:pPr>
          </w:p>
        </w:tc>
        <w:tc>
          <w:tcPr>
            <w:tcW w:w="631" w:type="dxa"/>
            <w:vAlign w:val="center"/>
          </w:tcPr>
          <w:p w14:paraId="7EF31DC4" w14:textId="77777777" w:rsidR="00ED6ED0" w:rsidRPr="00F94736" w:rsidRDefault="00ED6ED0" w:rsidP="00F909FE">
            <w:pPr>
              <w:pStyle w:val="TableParagraph"/>
              <w:kinsoku w:val="0"/>
              <w:overflowPunct w:val="0"/>
              <w:spacing w:before="75"/>
              <w:jc w:val="center"/>
              <w:rPr>
                <w:rFonts w:hAnsi="宋体"/>
                <w:sz w:val="18"/>
                <w:szCs w:val="20"/>
              </w:rPr>
            </w:pPr>
          </w:p>
        </w:tc>
        <w:tc>
          <w:tcPr>
            <w:tcW w:w="632" w:type="dxa"/>
            <w:vAlign w:val="center"/>
          </w:tcPr>
          <w:p w14:paraId="4FC9F2BF" w14:textId="77777777" w:rsidR="00ED6ED0" w:rsidRPr="00F94736" w:rsidRDefault="00ED6ED0" w:rsidP="00F909FE">
            <w:pPr>
              <w:pStyle w:val="TableParagraph"/>
              <w:kinsoku w:val="0"/>
              <w:overflowPunct w:val="0"/>
              <w:spacing w:before="75"/>
              <w:jc w:val="center"/>
              <w:rPr>
                <w:rFonts w:hAnsi="宋体"/>
                <w:sz w:val="18"/>
                <w:szCs w:val="20"/>
              </w:rPr>
            </w:pPr>
          </w:p>
        </w:tc>
      </w:tr>
      <w:tr w:rsidR="00ED6ED0" w14:paraId="6E68459D" w14:textId="77777777" w:rsidTr="00ED6ED0">
        <w:trPr>
          <w:trHeight w:val="400"/>
          <w:jc w:val="center"/>
        </w:trPr>
        <w:tc>
          <w:tcPr>
            <w:tcW w:w="671" w:type="dxa"/>
            <w:vMerge/>
          </w:tcPr>
          <w:p w14:paraId="6B80C34F" w14:textId="77777777" w:rsidR="00ED6ED0" w:rsidRDefault="00ED6ED0" w:rsidP="00F909FE">
            <w:pPr>
              <w:pStyle w:val="TableParagraph"/>
              <w:kinsoku w:val="0"/>
              <w:overflowPunct w:val="0"/>
              <w:spacing w:line="331" w:lineRule="auto"/>
              <w:ind w:left="222" w:right="182"/>
              <w:jc w:val="both"/>
              <w:rPr>
                <w:rFonts w:hAnsi="宋体"/>
                <w:sz w:val="22"/>
                <w:szCs w:val="20"/>
              </w:rPr>
            </w:pPr>
          </w:p>
        </w:tc>
        <w:tc>
          <w:tcPr>
            <w:tcW w:w="1238" w:type="dxa"/>
            <w:vMerge/>
            <w:vAlign w:val="center"/>
          </w:tcPr>
          <w:p w14:paraId="45D1AB81" w14:textId="77777777" w:rsidR="00ED6ED0" w:rsidRDefault="00ED6ED0" w:rsidP="00F909FE">
            <w:pPr>
              <w:pStyle w:val="TableParagraph"/>
              <w:kinsoku w:val="0"/>
              <w:overflowPunct w:val="0"/>
              <w:spacing w:before="75"/>
              <w:jc w:val="center"/>
              <w:rPr>
                <w:rFonts w:hAnsi="宋体"/>
                <w:sz w:val="18"/>
                <w:szCs w:val="20"/>
              </w:rPr>
            </w:pPr>
          </w:p>
        </w:tc>
        <w:tc>
          <w:tcPr>
            <w:tcW w:w="7555" w:type="dxa"/>
            <w:gridSpan w:val="18"/>
            <w:vAlign w:val="center"/>
          </w:tcPr>
          <w:p w14:paraId="17AD4CCE" w14:textId="77777777" w:rsidR="00ED6ED0" w:rsidRPr="00F94736" w:rsidRDefault="00ED6ED0" w:rsidP="00F909FE">
            <w:pPr>
              <w:pStyle w:val="TableParagraph"/>
              <w:kinsoku w:val="0"/>
              <w:overflowPunct w:val="0"/>
              <w:spacing w:before="75"/>
              <w:jc w:val="center"/>
              <w:rPr>
                <w:rFonts w:hAnsi="宋体"/>
                <w:sz w:val="18"/>
                <w:szCs w:val="20"/>
              </w:rPr>
            </w:pPr>
            <w:r>
              <w:rPr>
                <w:rFonts w:hAnsi="宋体" w:hint="eastAsia"/>
                <w:sz w:val="18"/>
                <w:szCs w:val="20"/>
              </w:rPr>
              <w:t>注：认购金额</w:t>
            </w:r>
            <w:r>
              <w:rPr>
                <w:rFonts w:hAnsi="宋体"/>
                <w:sz w:val="18"/>
                <w:szCs w:val="20"/>
              </w:rPr>
              <w:t>=</w:t>
            </w:r>
            <w:r>
              <w:rPr>
                <w:rFonts w:hAnsi="宋体" w:hint="eastAsia"/>
                <w:sz w:val="18"/>
                <w:szCs w:val="20"/>
              </w:rPr>
              <w:t>认购份额×配售价格，计算规则详见本基金发售公告</w:t>
            </w:r>
          </w:p>
        </w:tc>
      </w:tr>
      <w:tr w:rsidR="00F350B1" w14:paraId="22635005" w14:textId="77777777" w:rsidTr="00ED6ED0">
        <w:trPr>
          <w:trHeight w:val="2937"/>
          <w:jc w:val="center"/>
        </w:trPr>
        <w:tc>
          <w:tcPr>
            <w:tcW w:w="9464" w:type="dxa"/>
            <w:gridSpan w:val="20"/>
          </w:tcPr>
          <w:p w14:paraId="31437C84" w14:textId="77777777" w:rsidR="00F350B1" w:rsidRPr="00C77452" w:rsidRDefault="00F350B1" w:rsidP="00F350B1">
            <w:pPr>
              <w:pStyle w:val="TableParagraph"/>
              <w:kinsoku w:val="0"/>
              <w:overflowPunct w:val="0"/>
              <w:spacing w:before="145"/>
              <w:ind w:left="38"/>
              <w:jc w:val="center"/>
              <w:rPr>
                <w:color w:val="C00000"/>
                <w:sz w:val="22"/>
                <w:szCs w:val="22"/>
              </w:rPr>
            </w:pPr>
            <w:r>
              <w:rPr>
                <w:rFonts w:hint="eastAsia"/>
                <w:color w:val="C00000"/>
                <w:sz w:val="28"/>
                <w:szCs w:val="28"/>
              </w:rPr>
              <w:t>申请人声明及签章</w:t>
            </w:r>
          </w:p>
          <w:p w14:paraId="050C9DC3" w14:textId="64ADCB4A" w:rsidR="006545F5" w:rsidRDefault="006545F5" w:rsidP="00F350B1">
            <w:pPr>
              <w:pStyle w:val="TableParagraph"/>
              <w:kinsoku w:val="0"/>
              <w:overflowPunct w:val="0"/>
              <w:spacing w:before="1"/>
              <w:ind w:firstLineChars="300" w:firstLine="540"/>
              <w:rPr>
                <w:sz w:val="18"/>
                <w:szCs w:val="22"/>
              </w:rPr>
            </w:pPr>
            <w:r w:rsidRPr="006545F5">
              <w:rPr>
                <w:rFonts w:hint="eastAsia"/>
                <w:sz w:val="18"/>
                <w:szCs w:val="22"/>
              </w:rPr>
              <w:t>本</w:t>
            </w:r>
            <w:r w:rsidR="00577E31">
              <w:rPr>
                <w:rFonts w:hint="eastAsia"/>
                <w:sz w:val="18"/>
                <w:szCs w:val="22"/>
              </w:rPr>
              <w:t>人</w:t>
            </w:r>
            <w:r w:rsidRPr="006545F5">
              <w:rPr>
                <w:rFonts w:hint="eastAsia"/>
                <w:sz w:val="18"/>
                <w:szCs w:val="22"/>
              </w:rPr>
              <w:t>确认已详细阅读华夏基金管理有限公司所管理的《</w:t>
            </w:r>
            <w:r w:rsidR="00577E31">
              <w:rPr>
                <w:rFonts w:hint="eastAsia"/>
                <w:sz w:val="18"/>
                <w:szCs w:val="22"/>
              </w:rPr>
              <w:t>华夏基金华润有巢租赁住房封闭式基础设施证券投资基金</w:t>
            </w:r>
            <w:r w:rsidRPr="006545F5">
              <w:rPr>
                <w:rFonts w:hint="eastAsia"/>
                <w:sz w:val="18"/>
                <w:szCs w:val="22"/>
              </w:rPr>
              <w:t>基金合同》、最新招募说明书以及本</w:t>
            </w:r>
            <w:r w:rsidR="00172144">
              <w:rPr>
                <w:rFonts w:hint="eastAsia"/>
                <w:sz w:val="18"/>
                <w:szCs w:val="22"/>
              </w:rPr>
              <w:t>认购单</w:t>
            </w:r>
            <w:r w:rsidRPr="006545F5">
              <w:rPr>
                <w:rFonts w:hint="eastAsia"/>
                <w:sz w:val="18"/>
                <w:szCs w:val="22"/>
              </w:rPr>
              <w:t>的背面条款，保证资金来源的合法性和所提供资料的真实性、有效性、准确性、完整性，明白投资基金有风险，自行承担基金投资风险。</w:t>
            </w:r>
          </w:p>
          <w:p w14:paraId="500CF218" w14:textId="77777777" w:rsidR="00FF5D46" w:rsidRPr="00577E31" w:rsidRDefault="00FF5D46" w:rsidP="006545F5">
            <w:pPr>
              <w:pStyle w:val="TableParagraph"/>
              <w:kinsoku w:val="0"/>
              <w:overflowPunct w:val="0"/>
              <w:spacing w:before="1"/>
              <w:ind w:firstLineChars="300" w:firstLine="542"/>
              <w:rPr>
                <w:b/>
                <w:color w:val="C00000"/>
                <w:sz w:val="18"/>
                <w:szCs w:val="22"/>
              </w:rPr>
            </w:pPr>
          </w:p>
          <w:p w14:paraId="1BB05BA9" w14:textId="77777777" w:rsidR="006545F5" w:rsidRPr="006545F5" w:rsidRDefault="006545F5" w:rsidP="006545F5">
            <w:pPr>
              <w:pStyle w:val="TableParagraph"/>
              <w:kinsoku w:val="0"/>
              <w:overflowPunct w:val="0"/>
              <w:spacing w:before="1"/>
              <w:ind w:firstLineChars="300" w:firstLine="542"/>
              <w:rPr>
                <w:b/>
                <w:color w:val="C00000"/>
                <w:sz w:val="18"/>
                <w:szCs w:val="22"/>
              </w:rPr>
            </w:pPr>
            <w:r w:rsidRPr="006545F5">
              <w:rPr>
                <w:rFonts w:hint="eastAsia"/>
                <w:b/>
                <w:color w:val="C00000"/>
                <w:sz w:val="18"/>
                <w:szCs w:val="22"/>
              </w:rPr>
              <w:t>本单位确认上述填写内容正确无误。</w:t>
            </w:r>
          </w:p>
          <w:p w14:paraId="57B92D2C" w14:textId="77777777" w:rsidR="00FE524E" w:rsidRDefault="00FE524E" w:rsidP="00F350B1">
            <w:pPr>
              <w:pStyle w:val="TableParagraph"/>
              <w:kinsoku w:val="0"/>
              <w:overflowPunct w:val="0"/>
              <w:spacing w:before="1"/>
              <w:ind w:firstLineChars="300" w:firstLine="540"/>
              <w:rPr>
                <w:color w:val="C00000"/>
                <w:sz w:val="18"/>
                <w:szCs w:val="22"/>
              </w:rPr>
            </w:pPr>
          </w:p>
          <w:p w14:paraId="7606D576" w14:textId="77777777" w:rsidR="00F350B1" w:rsidRPr="00FE524E" w:rsidRDefault="00577E31" w:rsidP="00F350B1">
            <w:pPr>
              <w:pStyle w:val="TableParagraph"/>
              <w:kinsoku w:val="0"/>
              <w:overflowPunct w:val="0"/>
              <w:spacing w:before="145"/>
              <w:ind w:firstLineChars="300" w:firstLine="540"/>
              <w:rPr>
                <w:color w:val="C00000"/>
                <w:sz w:val="18"/>
                <w:szCs w:val="22"/>
              </w:rPr>
            </w:pPr>
            <w:r>
              <w:rPr>
                <w:rFonts w:hint="eastAsia"/>
                <w:color w:val="C00000"/>
                <w:sz w:val="18"/>
                <w:szCs w:val="22"/>
              </w:rPr>
              <w:t>认购人</w:t>
            </w:r>
            <w:r w:rsidR="00F350B1" w:rsidRPr="00FE524E">
              <w:rPr>
                <w:rFonts w:hint="eastAsia"/>
                <w:color w:val="C00000"/>
                <w:sz w:val="18"/>
                <w:szCs w:val="22"/>
              </w:rPr>
              <w:t>签名：</w:t>
            </w:r>
          </w:p>
          <w:p w14:paraId="7F37FFF5" w14:textId="77777777" w:rsidR="00F350B1" w:rsidRPr="004F2728" w:rsidRDefault="00F350B1" w:rsidP="00F350B1">
            <w:pPr>
              <w:pStyle w:val="TableParagraph"/>
              <w:kinsoku w:val="0"/>
              <w:wordWrap w:val="0"/>
              <w:overflowPunct w:val="0"/>
              <w:spacing w:before="145"/>
              <w:ind w:firstLineChars="300" w:firstLine="540"/>
              <w:jc w:val="right"/>
              <w:rPr>
                <w:sz w:val="18"/>
                <w:szCs w:val="18"/>
              </w:rPr>
            </w:pPr>
            <w:r w:rsidRPr="004F2728">
              <w:rPr>
                <w:rFonts w:hint="eastAsia"/>
                <w:sz w:val="18"/>
                <w:szCs w:val="18"/>
              </w:rPr>
              <w:t>日期：</w:t>
            </w:r>
            <w:r w:rsidRPr="004F2728">
              <w:rPr>
                <w:sz w:val="18"/>
                <w:szCs w:val="18"/>
              </w:rPr>
              <w:t xml:space="preserve">    </w:t>
            </w:r>
            <w:r w:rsidRPr="004F2728">
              <w:rPr>
                <w:rFonts w:hint="eastAsia"/>
                <w:sz w:val="18"/>
                <w:szCs w:val="18"/>
              </w:rPr>
              <w:t>年</w:t>
            </w:r>
            <w:r w:rsidRPr="004F2728">
              <w:rPr>
                <w:sz w:val="18"/>
                <w:szCs w:val="18"/>
              </w:rPr>
              <w:t xml:space="preserve">  </w:t>
            </w:r>
            <w:r w:rsidRPr="004F2728">
              <w:rPr>
                <w:rFonts w:hint="eastAsia"/>
                <w:sz w:val="18"/>
                <w:szCs w:val="18"/>
              </w:rPr>
              <w:t>月</w:t>
            </w:r>
            <w:r w:rsidRPr="004F2728">
              <w:rPr>
                <w:sz w:val="18"/>
                <w:szCs w:val="18"/>
              </w:rPr>
              <w:t xml:space="preserve">  </w:t>
            </w:r>
            <w:r w:rsidRPr="004F2728">
              <w:rPr>
                <w:rFonts w:hint="eastAsia"/>
                <w:sz w:val="18"/>
                <w:szCs w:val="18"/>
              </w:rPr>
              <w:t>日</w:t>
            </w:r>
            <w:r w:rsidRPr="004F2728">
              <w:rPr>
                <w:sz w:val="18"/>
                <w:szCs w:val="18"/>
              </w:rPr>
              <w:t xml:space="preserve">    </w:t>
            </w:r>
          </w:p>
        </w:tc>
      </w:tr>
    </w:tbl>
    <w:p w14:paraId="57018697" w14:textId="77777777" w:rsidR="00C77452" w:rsidRDefault="00C77452" w:rsidP="001C0659">
      <w:pPr>
        <w:pStyle w:val="1"/>
        <w:kinsoku w:val="0"/>
        <w:overflowPunct w:val="0"/>
        <w:spacing w:before="115"/>
        <w:ind w:left="0"/>
        <w:jc w:val="center"/>
      </w:pPr>
    </w:p>
    <w:p w14:paraId="7095203A" w14:textId="77777777" w:rsidR="004F0B1B" w:rsidRDefault="004F0B1B" w:rsidP="001C0659">
      <w:pPr>
        <w:pStyle w:val="1"/>
        <w:kinsoku w:val="0"/>
        <w:overflowPunct w:val="0"/>
        <w:spacing w:before="115"/>
        <w:ind w:left="0"/>
        <w:jc w:val="center"/>
      </w:pPr>
      <w:r>
        <w:rPr>
          <w:rFonts w:hint="eastAsia"/>
        </w:rPr>
        <w:lastRenderedPageBreak/>
        <w:t>风险告知函</w:t>
      </w:r>
    </w:p>
    <w:p w14:paraId="240234F4"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尊敬的投资者：</w:t>
      </w:r>
    </w:p>
    <w:p w14:paraId="03B62D11"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感谢您对</w:t>
      </w:r>
      <w:r w:rsidR="00D61F90" w:rsidRPr="00D61F90">
        <w:rPr>
          <w:rFonts w:hAnsi="宋体" w:hint="eastAsia"/>
          <w:sz w:val="20"/>
          <w:szCs w:val="20"/>
        </w:rPr>
        <w:t>华夏基金华润有巢租赁住房封闭式基础设施证券投资基金（以下简称</w:t>
      </w:r>
      <w:r w:rsidR="00630400" w:rsidRPr="00630400">
        <w:rPr>
          <w:rFonts w:hAnsi="宋体" w:hint="eastAsia"/>
          <w:sz w:val="20"/>
          <w:szCs w:val="20"/>
        </w:rPr>
        <w:t>“华夏基金华润有巢</w:t>
      </w:r>
      <w:r w:rsidR="00630400" w:rsidRPr="00630400">
        <w:rPr>
          <w:rFonts w:hAnsi="宋体"/>
          <w:sz w:val="20"/>
          <w:szCs w:val="20"/>
        </w:rPr>
        <w:t>REIT</w:t>
      </w:r>
      <w:r w:rsidR="00630400" w:rsidRPr="00630400">
        <w:rPr>
          <w:rFonts w:hAnsi="宋体" w:hint="eastAsia"/>
          <w:sz w:val="20"/>
          <w:szCs w:val="20"/>
        </w:rPr>
        <w:t>”或</w:t>
      </w:r>
      <w:r w:rsidR="00D61F90" w:rsidRPr="00D61F90">
        <w:rPr>
          <w:rFonts w:hAnsi="宋体" w:hint="eastAsia"/>
          <w:sz w:val="20"/>
          <w:szCs w:val="20"/>
        </w:rPr>
        <w:t>“本基金”）</w:t>
      </w:r>
      <w:r>
        <w:rPr>
          <w:rFonts w:hAnsi="宋体" w:hint="eastAsia"/>
          <w:sz w:val="20"/>
          <w:szCs w:val="20"/>
        </w:rPr>
        <w:t>的关注！</w:t>
      </w:r>
    </w:p>
    <w:p w14:paraId="7EEB9008"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本基金的风险等级为【</w:t>
      </w:r>
      <w:r>
        <w:rPr>
          <w:rFonts w:hAnsi="宋体"/>
          <w:sz w:val="20"/>
          <w:szCs w:val="20"/>
        </w:rPr>
        <w:t>R</w:t>
      </w:r>
      <w:r w:rsidR="00D61F90">
        <w:rPr>
          <w:rFonts w:hAnsi="宋体"/>
          <w:sz w:val="20"/>
          <w:szCs w:val="20"/>
        </w:rPr>
        <w:t>3</w:t>
      </w:r>
      <w:r>
        <w:rPr>
          <w:rFonts w:hAnsi="宋体" w:hint="eastAsia"/>
          <w:sz w:val="20"/>
          <w:szCs w:val="20"/>
        </w:rPr>
        <w:t>】，</w:t>
      </w:r>
      <w:r w:rsidR="00D61F90" w:rsidRPr="00D61F90">
        <w:rPr>
          <w:rFonts w:hAnsi="宋体" w:hint="eastAsia"/>
          <w:sz w:val="20"/>
          <w:szCs w:val="20"/>
        </w:rPr>
        <w:t>属于中风险等级产品</w:t>
      </w:r>
      <w:r>
        <w:rPr>
          <w:rFonts w:hAnsi="宋体" w:hint="eastAsia"/>
          <w:sz w:val="20"/>
          <w:szCs w:val="20"/>
        </w:rPr>
        <w:t>，</w:t>
      </w:r>
      <w:r w:rsidR="00D61F90" w:rsidRPr="00D61F90">
        <w:rPr>
          <w:rFonts w:hAnsi="宋体" w:hint="eastAsia"/>
          <w:sz w:val="20"/>
          <w:szCs w:val="20"/>
        </w:rPr>
        <w:t>可能因市场波动导致本金损失，购买前请确认您能承受相应风险等级。风险评级行为不改变基金的实质性风险收益特征，但由于风险分类标准的变化，本基金的风险等级表述可能有相应变化，具体风险评级结果应以基金管理人和销售机构提供的评级结果为准。</w:t>
      </w:r>
    </w:p>
    <w:p w14:paraId="2E017F37"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投资有风险，投资需谨慎。公开募集基础设施证券投资基金（以下简称“基础设施基金”）采用“公募基金</w:t>
      </w:r>
      <w:r>
        <w:rPr>
          <w:rFonts w:hAnsi="宋体"/>
          <w:sz w:val="20"/>
          <w:szCs w:val="20"/>
        </w:rPr>
        <w:t>+</w:t>
      </w:r>
      <w:r>
        <w:rPr>
          <w:rFonts w:hAnsi="宋体" w:hint="eastAsia"/>
          <w:sz w:val="20"/>
          <w:szCs w:val="20"/>
        </w:rPr>
        <w:t>基础设施资产支持证券”的产品结构，主要特点如下：一是基础设施基金与投资股票或债券的公募基金具有不同的风险收益特征，</w:t>
      </w:r>
      <w:r>
        <w:rPr>
          <w:rFonts w:hAnsi="宋体"/>
          <w:sz w:val="20"/>
          <w:szCs w:val="20"/>
        </w:rPr>
        <w:t>80%</w:t>
      </w:r>
      <w:r>
        <w:rPr>
          <w:rFonts w:hAnsi="宋体" w:hint="eastAsia"/>
          <w:sz w:val="20"/>
          <w:szCs w:val="20"/>
        </w:rPr>
        <w:t>以上基金资产投资于基础设施资产支持证券，并持有其全部份额，基金通过基础设施资产支持证券持有基础设施项目公司全部股权，穿透取得基础设施项目完全所有权或经营权利；二是基础设施基金以获取基础设施项目租金、收费等稳定现金流为主要目的，收益分配比例不低于合并后基金年度可供分配金额的</w:t>
      </w:r>
      <w:r>
        <w:rPr>
          <w:rFonts w:hAnsi="宋体"/>
          <w:sz w:val="20"/>
          <w:szCs w:val="20"/>
        </w:rPr>
        <w:t>90%</w:t>
      </w:r>
      <w:r>
        <w:rPr>
          <w:rFonts w:hAnsi="宋体" w:hint="eastAsia"/>
          <w:sz w:val="20"/>
          <w:szCs w:val="20"/>
        </w:rPr>
        <w:t>；三是基础设施基金采取封闭式运作，不开放申购与赎回，在证券交易所上市，场外份额持有人需将基金份额转托管至场内才可卖出或申报预受要约。</w:t>
      </w:r>
    </w:p>
    <w:p w14:paraId="0A7A21A6" w14:textId="77777777" w:rsidR="00D61F90" w:rsidRPr="00D61F90" w:rsidRDefault="00D61F90" w:rsidP="00D61F90">
      <w:pPr>
        <w:pStyle w:val="a3"/>
        <w:kinsoku w:val="0"/>
        <w:overflowPunct w:val="0"/>
        <w:spacing w:before="242" w:line="228" w:lineRule="auto"/>
        <w:ind w:left="0"/>
        <w:rPr>
          <w:rFonts w:hAnsi="宋体"/>
          <w:sz w:val="20"/>
          <w:szCs w:val="20"/>
        </w:rPr>
      </w:pPr>
      <w:r w:rsidRPr="00D61F90">
        <w:rPr>
          <w:rFonts w:hAnsi="宋体" w:hint="eastAsia"/>
          <w:sz w:val="20"/>
          <w:szCs w:val="20"/>
        </w:rPr>
        <w:t>华夏基金管理有限公司（以下简称“基金管理人”）管理的华夏基金华润有巢</w:t>
      </w:r>
      <w:r w:rsidRPr="00D61F90">
        <w:rPr>
          <w:rFonts w:hAnsi="宋体"/>
          <w:sz w:val="20"/>
          <w:szCs w:val="20"/>
        </w:rPr>
        <w:t>REIT</w:t>
      </w:r>
      <w:r w:rsidRPr="00D61F90">
        <w:rPr>
          <w:rFonts w:hAnsi="宋体" w:hint="eastAsia"/>
          <w:sz w:val="20"/>
          <w:szCs w:val="20"/>
        </w:rPr>
        <w:t>自</w:t>
      </w:r>
      <w:r w:rsidRPr="00D61F90">
        <w:rPr>
          <w:rFonts w:hAnsi="宋体"/>
          <w:sz w:val="20"/>
          <w:szCs w:val="20"/>
        </w:rPr>
        <w:t>2022</w:t>
      </w:r>
      <w:r w:rsidRPr="00D61F90">
        <w:rPr>
          <w:rFonts w:hAnsi="宋体" w:hint="eastAsia"/>
          <w:sz w:val="20"/>
          <w:szCs w:val="20"/>
        </w:rPr>
        <w:t>年</w:t>
      </w:r>
      <w:r w:rsidRPr="00D61F90">
        <w:rPr>
          <w:rFonts w:hAnsi="宋体"/>
          <w:sz w:val="20"/>
          <w:szCs w:val="20"/>
        </w:rPr>
        <w:t>11</w:t>
      </w:r>
      <w:r w:rsidRPr="00D61F90">
        <w:rPr>
          <w:rFonts w:hAnsi="宋体" w:hint="eastAsia"/>
          <w:sz w:val="20"/>
          <w:szCs w:val="20"/>
        </w:rPr>
        <w:t>月</w:t>
      </w:r>
      <w:r w:rsidRPr="00D61F90">
        <w:rPr>
          <w:rFonts w:hAnsi="宋体"/>
          <w:sz w:val="20"/>
          <w:szCs w:val="20"/>
        </w:rPr>
        <w:t>18</w:t>
      </w:r>
      <w:r w:rsidRPr="00D61F90">
        <w:rPr>
          <w:rFonts w:hAnsi="宋体" w:hint="eastAsia"/>
          <w:sz w:val="20"/>
          <w:szCs w:val="20"/>
        </w:rPr>
        <w:t>日起基金合同生效，并自</w:t>
      </w:r>
      <w:r w:rsidRPr="00D61F90">
        <w:rPr>
          <w:rFonts w:hAnsi="宋体"/>
          <w:sz w:val="20"/>
          <w:szCs w:val="20"/>
        </w:rPr>
        <w:t>2022</w:t>
      </w:r>
      <w:r w:rsidRPr="00D61F90">
        <w:rPr>
          <w:rFonts w:hAnsi="宋体" w:hint="eastAsia"/>
          <w:sz w:val="20"/>
          <w:szCs w:val="20"/>
        </w:rPr>
        <w:t>年</w:t>
      </w:r>
      <w:r w:rsidRPr="00D61F90">
        <w:rPr>
          <w:rFonts w:hAnsi="宋体"/>
          <w:sz w:val="20"/>
          <w:szCs w:val="20"/>
        </w:rPr>
        <w:t>12</w:t>
      </w:r>
      <w:r w:rsidRPr="00D61F90">
        <w:rPr>
          <w:rFonts w:hAnsi="宋体" w:hint="eastAsia"/>
          <w:sz w:val="20"/>
          <w:szCs w:val="20"/>
        </w:rPr>
        <w:t>月</w:t>
      </w:r>
      <w:r w:rsidRPr="00D61F90">
        <w:rPr>
          <w:rFonts w:hAnsi="宋体"/>
          <w:sz w:val="20"/>
          <w:szCs w:val="20"/>
        </w:rPr>
        <w:t>9</w:t>
      </w:r>
      <w:r w:rsidRPr="00D61F90">
        <w:rPr>
          <w:rFonts w:hAnsi="宋体" w:hint="eastAsia"/>
          <w:sz w:val="20"/>
          <w:szCs w:val="20"/>
        </w:rPr>
        <w:t>日起在上海证券交易所上市交易。本基金自成立以来投资运作稳健，已持有基础设施项目运营情况良好。</w:t>
      </w:r>
    </w:p>
    <w:p w14:paraId="0A69876B" w14:textId="77777777" w:rsidR="00D61F90" w:rsidRPr="00D61F90" w:rsidRDefault="00D61F90" w:rsidP="00D61F90">
      <w:pPr>
        <w:pStyle w:val="a3"/>
        <w:kinsoku w:val="0"/>
        <w:overflowPunct w:val="0"/>
        <w:spacing w:before="242" w:line="228" w:lineRule="auto"/>
        <w:ind w:left="0"/>
        <w:rPr>
          <w:rFonts w:hAnsi="宋体"/>
          <w:sz w:val="20"/>
          <w:szCs w:val="20"/>
        </w:rPr>
      </w:pPr>
      <w:r w:rsidRPr="00D61F90">
        <w:rPr>
          <w:rFonts w:hAnsi="宋体" w:hint="eastAsia"/>
          <w:sz w:val="20"/>
          <w:szCs w:val="20"/>
        </w:rPr>
        <w:t>根据中国证监会</w:t>
      </w:r>
      <w:r w:rsidRPr="00D61F90">
        <w:rPr>
          <w:rFonts w:hAnsi="宋体"/>
          <w:sz w:val="20"/>
          <w:szCs w:val="20"/>
        </w:rPr>
        <w:t>2025</w:t>
      </w:r>
      <w:r w:rsidRPr="00D61F90">
        <w:rPr>
          <w:rFonts w:hAnsi="宋体" w:hint="eastAsia"/>
          <w:sz w:val="20"/>
          <w:szCs w:val="20"/>
        </w:rPr>
        <w:t>年</w:t>
      </w:r>
      <w:r w:rsidRPr="00D61F90">
        <w:rPr>
          <w:rFonts w:hAnsi="宋体"/>
          <w:sz w:val="20"/>
          <w:szCs w:val="20"/>
        </w:rPr>
        <w:t>10</w:t>
      </w:r>
      <w:r w:rsidRPr="00D61F90">
        <w:rPr>
          <w:rFonts w:hAnsi="宋体" w:hint="eastAsia"/>
          <w:sz w:val="20"/>
          <w:szCs w:val="20"/>
        </w:rPr>
        <w:t>月</w:t>
      </w:r>
      <w:r w:rsidRPr="00D61F90">
        <w:rPr>
          <w:rFonts w:hAnsi="宋体"/>
          <w:sz w:val="20"/>
          <w:szCs w:val="20"/>
        </w:rPr>
        <w:t>28</w:t>
      </w:r>
      <w:r w:rsidRPr="00D61F90">
        <w:rPr>
          <w:rFonts w:hAnsi="宋体" w:hint="eastAsia"/>
          <w:sz w:val="20"/>
          <w:szCs w:val="20"/>
        </w:rPr>
        <w:t>日证监许可〔</w:t>
      </w:r>
      <w:r w:rsidRPr="00D61F90">
        <w:rPr>
          <w:rFonts w:hAnsi="宋体"/>
          <w:sz w:val="20"/>
          <w:szCs w:val="20"/>
        </w:rPr>
        <w:t>2025</w:t>
      </w:r>
      <w:r w:rsidRPr="00D61F90">
        <w:rPr>
          <w:rFonts w:hAnsi="宋体" w:hint="eastAsia"/>
          <w:sz w:val="20"/>
          <w:szCs w:val="20"/>
        </w:rPr>
        <w:t>〕</w:t>
      </w:r>
      <w:r w:rsidRPr="00D61F90">
        <w:rPr>
          <w:rFonts w:hAnsi="宋体"/>
          <w:sz w:val="20"/>
          <w:szCs w:val="20"/>
        </w:rPr>
        <w:t>2408</w:t>
      </w:r>
      <w:r w:rsidRPr="00D61F90">
        <w:rPr>
          <w:rFonts w:hAnsi="宋体" w:hint="eastAsia"/>
          <w:sz w:val="20"/>
          <w:szCs w:val="20"/>
        </w:rPr>
        <w:t>号《关于准予华夏基金华润有巢租赁住房封闭式基础设施证券投资基金变更注册的批复》，本基金就扩募及新购入基础设施项目等基金变更事宜进行注册，并提交本基金基金份额持有人大会决议。</w:t>
      </w:r>
    </w:p>
    <w:p w14:paraId="0D7CCA7F" w14:textId="77777777" w:rsidR="00D61F90" w:rsidRPr="00D61F90" w:rsidRDefault="00D61F90" w:rsidP="00D61F90">
      <w:pPr>
        <w:pStyle w:val="a3"/>
        <w:kinsoku w:val="0"/>
        <w:overflowPunct w:val="0"/>
        <w:spacing w:before="242" w:line="228" w:lineRule="auto"/>
        <w:ind w:left="0"/>
        <w:rPr>
          <w:rFonts w:hAnsi="宋体"/>
          <w:sz w:val="20"/>
          <w:szCs w:val="20"/>
        </w:rPr>
      </w:pPr>
      <w:r w:rsidRPr="00D61F90">
        <w:rPr>
          <w:rFonts w:hAnsi="宋体" w:hint="eastAsia"/>
          <w:sz w:val="20"/>
          <w:szCs w:val="20"/>
        </w:rPr>
        <w:t>本次扩募面向配售权益登记日登记在册的原基金份额持有人，按相同的配售比例进行配售。配售完成后，基金份额价格进行除权。若原持有人未参与配售或参与配售但实际参与配售比例小于本基金公告的配售比例的，可能面临除权后基金份额价格下降、持有权益稀释而带来损失的风险。如原持有人拟不参与配售，可以在配售权益登记日前选择卖出所持基金份额，以避免前述风险。</w:t>
      </w:r>
    </w:p>
    <w:p w14:paraId="07712D93" w14:textId="77777777" w:rsidR="00E52C1E" w:rsidRDefault="00D61F90" w:rsidP="00D61F90">
      <w:pPr>
        <w:pStyle w:val="a3"/>
        <w:kinsoku w:val="0"/>
        <w:overflowPunct w:val="0"/>
        <w:spacing w:before="242" w:line="228" w:lineRule="auto"/>
        <w:ind w:left="0"/>
        <w:rPr>
          <w:rFonts w:hAnsi="宋体"/>
          <w:sz w:val="20"/>
          <w:szCs w:val="20"/>
        </w:rPr>
      </w:pPr>
      <w:r w:rsidRPr="00D61F90">
        <w:rPr>
          <w:rFonts w:hAnsi="宋体" w:hint="eastAsia"/>
          <w:sz w:val="20"/>
          <w:szCs w:val="20"/>
        </w:rPr>
        <w:t>本基金的基金合同、基金招募说明书已通过中国证监会基金电子披露网站（</w:t>
      </w:r>
      <w:r w:rsidRPr="00D61F90">
        <w:rPr>
          <w:rFonts w:hAnsi="宋体"/>
          <w:sz w:val="20"/>
          <w:szCs w:val="20"/>
        </w:rPr>
        <w:t>http://eid.csrc.gov.cn/fund</w:t>
      </w:r>
      <w:r w:rsidRPr="00D61F90">
        <w:rPr>
          <w:rFonts w:hAnsi="宋体" w:hint="eastAsia"/>
          <w:sz w:val="20"/>
          <w:szCs w:val="20"/>
        </w:rPr>
        <w:t>）、上海证券交易所网站（</w:t>
      </w:r>
      <w:r w:rsidRPr="00D61F90">
        <w:rPr>
          <w:rFonts w:hAnsi="宋体"/>
          <w:sz w:val="20"/>
          <w:szCs w:val="20"/>
        </w:rPr>
        <w:t>http://www.sse.com.cn/</w:t>
      </w:r>
      <w:r w:rsidRPr="00D61F90">
        <w:rPr>
          <w:rFonts w:hAnsi="宋体" w:hint="eastAsia"/>
          <w:sz w:val="20"/>
          <w:szCs w:val="20"/>
        </w:rPr>
        <w:t>）和基金管理人网站（</w:t>
      </w:r>
      <w:r w:rsidRPr="00D61F90">
        <w:rPr>
          <w:rFonts w:hAnsi="宋体"/>
          <w:sz w:val="20"/>
          <w:szCs w:val="20"/>
        </w:rPr>
        <w:t>www.ChinaAMC.com</w:t>
      </w:r>
      <w:r w:rsidRPr="00D61F90">
        <w:rPr>
          <w:rFonts w:hAnsi="宋体" w:hint="eastAsia"/>
          <w:sz w:val="20"/>
          <w:szCs w:val="20"/>
        </w:rPr>
        <w:t>）进行了公开披露。中国证监会对本基金的注册，并不表明其对本基金的投资价值、市场前景和收益作出实质性判断或保证，也不表明投资于本基金没有风险。</w:t>
      </w:r>
    </w:p>
    <w:p w14:paraId="1BEE262A"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本风险告知函的揭示事项仅为列举事项，未能详尽列明本基金的所有风险。您在做出投资决策之前，请仔细阅读应认真阅读基金合同、招募说明书、基金产品资料概等产品法律文件和本风险告知函，充分认识本基金的风险收益特征和产品特性，认真考虑本基金存在的各项风险因素，并根据自身的投资目的、投资期限、投资经验、资产状况等因素充分考虑自身的风险承受能力，在了解产品情况及销售适当性意见的基础上，自主理性判断并谨慎做出投资决策，自行承担投资风险。</w:t>
      </w:r>
    </w:p>
    <w:p w14:paraId="1A3AD0DB"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一、基金的投资</w:t>
      </w:r>
    </w:p>
    <w:p w14:paraId="5D6B32DB"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（一）投资范围</w:t>
      </w:r>
    </w:p>
    <w:p w14:paraId="748AD877" w14:textId="77777777" w:rsidR="00D61F90" w:rsidRPr="00D61F90" w:rsidRDefault="00D61F90" w:rsidP="00D61F90">
      <w:pPr>
        <w:pStyle w:val="a3"/>
        <w:kinsoku w:val="0"/>
        <w:overflowPunct w:val="0"/>
        <w:spacing w:before="242" w:line="228" w:lineRule="auto"/>
        <w:ind w:left="0"/>
        <w:rPr>
          <w:rFonts w:hAnsi="宋体"/>
          <w:sz w:val="20"/>
          <w:szCs w:val="20"/>
        </w:rPr>
      </w:pPr>
      <w:r w:rsidRPr="00D61F90">
        <w:rPr>
          <w:rFonts w:hAnsi="宋体" w:hint="eastAsia"/>
          <w:sz w:val="20"/>
          <w:szCs w:val="20"/>
        </w:rPr>
        <w:t>本基金存续期内按照《基金合同》的约定以</w:t>
      </w:r>
      <w:r w:rsidRPr="00D61F90">
        <w:rPr>
          <w:rFonts w:hAnsi="宋体"/>
          <w:sz w:val="20"/>
          <w:szCs w:val="20"/>
        </w:rPr>
        <w:t>80%</w:t>
      </w:r>
      <w:r w:rsidRPr="00D61F90">
        <w:rPr>
          <w:rFonts w:hAnsi="宋体" w:hint="eastAsia"/>
          <w:sz w:val="20"/>
          <w:szCs w:val="20"/>
        </w:rPr>
        <w:t>以上基金资产投资于租赁住房类基础设施资产支持专项计划，并将优先投资于以有巢住房租赁（深圳）有限公司或其关联方拥有或推荐的租赁住房基础设施项目为投资标的的资产支持专项计划，并持有资产支持专项计划的全部资产支持证券份额，从而取得基础设施项目完全所有权或经营权利。本基金的其余基金资产应当依法投资于利率债（国债、政策性金融债、央行票据）、</w:t>
      </w:r>
      <w:r w:rsidRPr="00D61F90">
        <w:rPr>
          <w:rFonts w:hAnsi="宋体"/>
          <w:sz w:val="20"/>
          <w:szCs w:val="20"/>
        </w:rPr>
        <w:t>AAA</w:t>
      </w:r>
      <w:r w:rsidRPr="00D61F90">
        <w:rPr>
          <w:rFonts w:hAnsi="宋体" w:hint="eastAsia"/>
          <w:sz w:val="20"/>
          <w:szCs w:val="20"/>
        </w:rPr>
        <w:t>级信用债（企业债、公司债、金融债、中期票据、短期融资券、超短期融资债券、公开发行的次级债、可分离交易可转债的纯债部分）或货币市场工具（债券回购、银行存款、同业存单等）以及法律法规或中国证监会允许基础设施证券投资基金投资的其他金融工具。</w:t>
      </w:r>
    </w:p>
    <w:p w14:paraId="0D9F566D" w14:textId="77777777" w:rsidR="00D61F90" w:rsidRPr="00D61F90" w:rsidRDefault="00D61F90" w:rsidP="00D61F90">
      <w:pPr>
        <w:pStyle w:val="a3"/>
        <w:kinsoku w:val="0"/>
        <w:overflowPunct w:val="0"/>
        <w:spacing w:before="242" w:line="228" w:lineRule="auto"/>
        <w:ind w:left="0"/>
        <w:rPr>
          <w:rFonts w:hAnsi="宋体"/>
          <w:sz w:val="20"/>
          <w:szCs w:val="20"/>
        </w:rPr>
      </w:pPr>
      <w:r w:rsidRPr="00D61F90">
        <w:rPr>
          <w:rFonts w:hAnsi="宋体" w:hint="eastAsia"/>
          <w:sz w:val="20"/>
          <w:szCs w:val="20"/>
        </w:rPr>
        <w:t>本基金不投资于股票等权益类资产，也不投资于可转换债券（可分离交易可转债的纯债部分除外）、可交换债券。</w:t>
      </w:r>
    </w:p>
    <w:p w14:paraId="34C35D8E" w14:textId="77777777" w:rsidR="00E52C1E" w:rsidRDefault="00D61F90" w:rsidP="00D61F90">
      <w:pPr>
        <w:pStyle w:val="a3"/>
        <w:kinsoku w:val="0"/>
        <w:overflowPunct w:val="0"/>
        <w:spacing w:before="242" w:line="228" w:lineRule="auto"/>
        <w:ind w:left="0"/>
        <w:rPr>
          <w:rFonts w:hAnsi="宋体"/>
          <w:sz w:val="20"/>
          <w:szCs w:val="20"/>
        </w:rPr>
      </w:pPr>
      <w:r w:rsidRPr="00D61F90">
        <w:rPr>
          <w:rFonts w:hAnsi="宋体" w:hint="eastAsia"/>
          <w:sz w:val="20"/>
          <w:szCs w:val="20"/>
        </w:rPr>
        <w:t>如法律法规或监管机构以后允许基金投资其他品种，基金管理人在履行适当程序后，可以将其纳入投资范围，并可依据届时有效的法律法规适时合理地调整投资范围。</w:t>
      </w:r>
    </w:p>
    <w:p w14:paraId="45E8CEC7"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lastRenderedPageBreak/>
        <w:t>（二）风险收益特征</w:t>
      </w:r>
    </w:p>
    <w:p w14:paraId="0F5178FE" w14:textId="77777777" w:rsidR="00E52C1E" w:rsidRDefault="00D80C4D" w:rsidP="00E52C1E">
      <w:pPr>
        <w:pStyle w:val="a3"/>
        <w:kinsoku w:val="0"/>
        <w:overflowPunct w:val="0"/>
        <w:spacing w:before="242" w:line="228" w:lineRule="auto"/>
        <w:ind w:left="0"/>
        <w:rPr>
          <w:rFonts w:ascii="Times New Roman" w:cs="Times New Roman"/>
          <w:color w:val="000000"/>
          <w:sz w:val="21"/>
          <w:szCs w:val="21"/>
        </w:rPr>
      </w:pPr>
      <w:r w:rsidRPr="00D80C4D">
        <w:rPr>
          <w:rFonts w:hAnsi="宋体" w:hint="eastAsia"/>
          <w:sz w:val="20"/>
          <w:szCs w:val="20"/>
        </w:rPr>
        <w:t>本基金在存续期内主要投资于基础设施资产支持证券全部份额，以获取基础设施运营收益并承担基础设施项目价格波动，因此与股票型基金、债券型基金和货币市场基金等常规证券投资基金有不同的风险收益特征。一般市场情况下，本基金预期风险和收益高于债券型基金和货币市场基金，低于股票型基金。</w:t>
      </w:r>
    </w:p>
    <w:p w14:paraId="439B73CD" w14:textId="77777777" w:rsidR="00E52C1E" w:rsidRDefault="00E52C1E" w:rsidP="00E52C1E">
      <w:pPr>
        <w:pStyle w:val="a3"/>
        <w:kinsoku w:val="0"/>
        <w:overflowPunct w:val="0"/>
        <w:spacing w:before="242" w:line="228" w:lineRule="auto"/>
        <w:ind w:left="0"/>
        <w:rPr>
          <w:rFonts w:hAnsi="宋体"/>
          <w:bCs/>
          <w:sz w:val="20"/>
          <w:szCs w:val="20"/>
        </w:rPr>
      </w:pPr>
      <w:r>
        <w:rPr>
          <w:rFonts w:hAnsi="宋体" w:hint="eastAsia"/>
          <w:bCs/>
          <w:sz w:val="20"/>
          <w:szCs w:val="20"/>
        </w:rPr>
        <w:t>二、风险揭示</w:t>
      </w:r>
    </w:p>
    <w:p w14:paraId="3DB65CE9" w14:textId="77777777" w:rsidR="00E52C1E" w:rsidRDefault="00E52C1E" w:rsidP="00E52C1E">
      <w:pPr>
        <w:pStyle w:val="a3"/>
        <w:kinsoku w:val="0"/>
        <w:overflowPunct w:val="0"/>
        <w:spacing w:before="242" w:line="228" w:lineRule="auto"/>
        <w:ind w:left="0"/>
        <w:rPr>
          <w:rFonts w:hAnsi="宋体"/>
          <w:sz w:val="20"/>
          <w:szCs w:val="20"/>
        </w:rPr>
      </w:pPr>
      <w:r>
        <w:rPr>
          <w:rFonts w:hAnsi="宋体" w:hint="eastAsia"/>
          <w:sz w:val="20"/>
          <w:szCs w:val="20"/>
        </w:rPr>
        <w:t>本基金可能面临以下风险，包括但不限于：</w:t>
      </w:r>
    </w:p>
    <w:p w14:paraId="18171D88" w14:textId="77777777" w:rsidR="00D80C4D" w:rsidRPr="00D80C4D" w:rsidRDefault="00D80C4D" w:rsidP="00D80C4D">
      <w:pPr>
        <w:pStyle w:val="a3"/>
        <w:kinsoku w:val="0"/>
        <w:overflowPunct w:val="0"/>
        <w:spacing w:before="242" w:line="228" w:lineRule="auto"/>
        <w:ind w:left="0"/>
        <w:rPr>
          <w:rFonts w:hAnsi="宋体"/>
          <w:b/>
          <w:bCs/>
          <w:sz w:val="20"/>
          <w:szCs w:val="20"/>
        </w:rPr>
      </w:pPr>
      <w:r w:rsidRPr="00D80C4D">
        <w:rPr>
          <w:rFonts w:hAnsi="宋体" w:hint="eastAsia"/>
          <w:b/>
          <w:bCs/>
          <w:sz w:val="20"/>
          <w:szCs w:val="20"/>
        </w:rPr>
        <w:t>（一）与基础设施基金相关的各项风险因素</w:t>
      </w:r>
    </w:p>
    <w:p w14:paraId="49D4977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w:t>
      </w:r>
      <w:r w:rsidRPr="00D80C4D">
        <w:rPr>
          <w:rFonts w:hAnsi="宋体" w:hint="eastAsia"/>
          <w:sz w:val="20"/>
          <w:szCs w:val="20"/>
        </w:rPr>
        <w:t>、基金价格波动风险</w:t>
      </w:r>
    </w:p>
    <w:p w14:paraId="7BC283E4"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大部分资产投资于特定类型的基础设施项目，具有权益属性。受经济环境、运营管理、会计政策及不可抗力等因素影响，基础设施项目市场价值、基金净值可能发生波动，从而引起基金价格出现波动。同时，本基金在上海证券交易所上市，也可能因为市场供求关系等因素而面临交易价格大幅波动的风险。</w:t>
      </w:r>
    </w:p>
    <w:p w14:paraId="704ACAB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w:t>
      </w:r>
      <w:r w:rsidRPr="00D80C4D">
        <w:rPr>
          <w:rFonts w:hAnsi="宋体" w:hint="eastAsia"/>
          <w:sz w:val="20"/>
          <w:szCs w:val="20"/>
        </w:rPr>
        <w:t>、流动性风险</w:t>
      </w:r>
    </w:p>
    <w:p w14:paraId="004FEFA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采取封闭式运作，不开通申购赎回，只能在二级市场交易。按照《基础设施基金指引》要求，本基金原始权益人和战略投资者所持有的战略配售份额以及定向扩募发售对象通过定向扩募取得的基金份额需要满足一定的持有期要求，在一定时间内无法交易，因此本基金上市初期可交易份额并非本基金的全部份额。而且，基础设施基金目前整个市场的监管体系、产品规模、投资人培育均处于发展阶段，可能由此导致交易不活跃，从而存在基金份额持有人需要资金时不能随时变现并可能丧失其他投资机会的风险。</w:t>
      </w:r>
    </w:p>
    <w:p w14:paraId="15A9A86C"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3</w:t>
      </w:r>
      <w:r w:rsidRPr="00D80C4D">
        <w:rPr>
          <w:rFonts w:hAnsi="宋体" w:hint="eastAsia"/>
          <w:sz w:val="20"/>
          <w:szCs w:val="20"/>
        </w:rPr>
        <w:t>、基金份额解禁风险</w:t>
      </w:r>
    </w:p>
    <w:p w14:paraId="28AEE70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原始权益人或其同一控制下的关联方参与基础设施基金份额战略配售的比例合计不低于本次基金份额发售数量的</w:t>
      </w:r>
      <w:r w:rsidRPr="00D80C4D">
        <w:rPr>
          <w:rFonts w:hAnsi="宋体"/>
          <w:sz w:val="20"/>
          <w:szCs w:val="20"/>
        </w:rPr>
        <w:t>20%</w:t>
      </w:r>
      <w:r w:rsidRPr="00D80C4D">
        <w:rPr>
          <w:rFonts w:hAnsi="宋体" w:hint="eastAsia"/>
          <w:sz w:val="20"/>
          <w:szCs w:val="20"/>
        </w:rPr>
        <w:t>，其中基金份额发售总量的</w:t>
      </w:r>
      <w:r w:rsidRPr="00D80C4D">
        <w:rPr>
          <w:rFonts w:hAnsi="宋体"/>
          <w:sz w:val="20"/>
          <w:szCs w:val="20"/>
        </w:rPr>
        <w:t>20%</w:t>
      </w:r>
      <w:r w:rsidRPr="00D80C4D">
        <w:rPr>
          <w:rFonts w:hAnsi="宋体" w:hint="eastAsia"/>
          <w:sz w:val="20"/>
          <w:szCs w:val="20"/>
        </w:rPr>
        <w:t>持有期自上市之日起不少于</w:t>
      </w:r>
      <w:r w:rsidRPr="00D80C4D">
        <w:rPr>
          <w:rFonts w:hAnsi="宋体"/>
          <w:sz w:val="20"/>
          <w:szCs w:val="20"/>
        </w:rPr>
        <w:t>60</w:t>
      </w:r>
      <w:r w:rsidRPr="00D80C4D">
        <w:rPr>
          <w:rFonts w:hAnsi="宋体" w:hint="eastAsia"/>
          <w:sz w:val="20"/>
          <w:szCs w:val="20"/>
        </w:rPr>
        <w:t>个月，超过</w:t>
      </w:r>
      <w:r w:rsidRPr="00D80C4D">
        <w:rPr>
          <w:rFonts w:hAnsi="宋体"/>
          <w:sz w:val="20"/>
          <w:szCs w:val="20"/>
        </w:rPr>
        <w:t>20%</w:t>
      </w:r>
      <w:r w:rsidRPr="00D80C4D">
        <w:rPr>
          <w:rFonts w:hAnsi="宋体" w:hint="eastAsia"/>
          <w:sz w:val="20"/>
          <w:szCs w:val="20"/>
        </w:rPr>
        <w:t>部分持有期自上市之日起不少于</w:t>
      </w:r>
      <w:r w:rsidRPr="00D80C4D">
        <w:rPr>
          <w:rFonts w:hAnsi="宋体"/>
          <w:sz w:val="20"/>
          <w:szCs w:val="20"/>
        </w:rPr>
        <w:t>36</w:t>
      </w:r>
      <w:r w:rsidRPr="00D80C4D">
        <w:rPr>
          <w:rFonts w:hAnsi="宋体" w:hint="eastAsia"/>
          <w:sz w:val="20"/>
          <w:szCs w:val="20"/>
        </w:rPr>
        <w:t>个月。原始权益人或其同一控制下的关联方以外的专业机构投资者可以参与基础设施基金份额战略配售，持有基础设施基金份额期限自上市之日起不少于</w:t>
      </w:r>
      <w:r w:rsidRPr="00D80C4D">
        <w:rPr>
          <w:rFonts w:hAnsi="宋体"/>
          <w:sz w:val="20"/>
          <w:szCs w:val="20"/>
        </w:rPr>
        <w:t>12</w:t>
      </w:r>
      <w:r w:rsidRPr="00D80C4D">
        <w:rPr>
          <w:rFonts w:hAnsi="宋体" w:hint="eastAsia"/>
          <w:sz w:val="20"/>
          <w:szCs w:val="20"/>
        </w:rPr>
        <w:t>个月。</w:t>
      </w:r>
    </w:p>
    <w:p w14:paraId="58E24E7E"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此外，基金份额还可能根据《扩募并新购入基础设施项目指引》等其他规则、监管规定等产生限售，基金份额限售到期时将面临集中解禁。届时，若投资者在限售期届满时集中卖出基础设施基金份额，可能对二级市场价格造成一定的影响。</w:t>
      </w:r>
    </w:p>
    <w:p w14:paraId="7CEA1E5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4</w:t>
      </w:r>
      <w:r w:rsidRPr="00D80C4D">
        <w:rPr>
          <w:rFonts w:hAnsi="宋体" w:hint="eastAsia"/>
          <w:sz w:val="20"/>
          <w:szCs w:val="20"/>
        </w:rPr>
        <w:t>、暂停上市或终止上市风险</w:t>
      </w:r>
    </w:p>
    <w:p w14:paraId="3C9B2FB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在基金合同生效且本基金符合上市交易条件后，本基金将在上海证券交易所上市交易。上市期间可能因违反法律法规或交易所规则等原因导致本基金停牌，投资者在停牌期间不能买卖基金份额。如本基金因未按照规定进行收益分配等各种原因暂停或终止上市，对投资者亦将产生风险，如无法在二级市场交易的风险、基金财产因终止上市而受到损失的风险。</w:t>
      </w:r>
    </w:p>
    <w:p w14:paraId="28829B8F"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5</w:t>
      </w:r>
      <w:r w:rsidRPr="00D80C4D">
        <w:rPr>
          <w:rFonts w:hAnsi="宋体" w:hint="eastAsia"/>
          <w:sz w:val="20"/>
          <w:szCs w:val="20"/>
        </w:rPr>
        <w:t>、基础设施基金停牌的风险</w:t>
      </w:r>
    </w:p>
    <w:p w14:paraId="35967E2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按照《新购入基础设施项目指引》要求，本基金应在本次变更的基金份额持有人大会召开之日（以现场方式召开的）或者基金份额持有人大会计票之日（以通讯方式召开的）开市起，至基金份额持有人大会决议生效公告日复牌（如公告日为非交易日，则公告后首个交易日开市时复牌），以及难以按照规定分阶段披露所筹划事项时临时或长期停牌，投资者可能面临无法卖出基金份额的风险。</w:t>
      </w:r>
    </w:p>
    <w:p w14:paraId="6971DF9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6</w:t>
      </w:r>
      <w:r w:rsidRPr="00D80C4D">
        <w:rPr>
          <w:rFonts w:hAnsi="宋体" w:hint="eastAsia"/>
          <w:sz w:val="20"/>
          <w:szCs w:val="20"/>
        </w:rPr>
        <w:t>、税收政策调整风险</w:t>
      </w:r>
    </w:p>
    <w:p w14:paraId="509BFD7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运作过程中可能涉及基金份额持有人、本基金、资产支持证券、项目公司等多层面税负。鉴于基础设施基金是创新产品，如果国家税收等政策发生调整，可能影响本基金的投资运作与基金收益，相关政策可能导致项目公司投资性房地产所得税计税基础发生变动进而导致投资者投资收益变动。</w:t>
      </w:r>
    </w:p>
    <w:p w14:paraId="0B56EAD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7</w:t>
      </w:r>
      <w:r w:rsidRPr="00D80C4D">
        <w:rPr>
          <w:rFonts w:hAnsi="宋体" w:hint="eastAsia"/>
          <w:sz w:val="20"/>
          <w:szCs w:val="20"/>
        </w:rPr>
        <w:t>、本基金整体架构所涉及相关交易风险</w:t>
      </w:r>
    </w:p>
    <w:p w14:paraId="207BE73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1</w:t>
      </w:r>
      <w:r w:rsidRPr="00D80C4D">
        <w:rPr>
          <w:rFonts w:hAnsi="宋体" w:hint="eastAsia"/>
          <w:sz w:val="20"/>
          <w:szCs w:val="20"/>
        </w:rPr>
        <w:t>）购买项目公司股权之交易未能完成的风险</w:t>
      </w:r>
    </w:p>
    <w:p w14:paraId="4C61E9C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lastRenderedPageBreak/>
        <w:t>基础设施资产支持专项计划将通过</w:t>
      </w:r>
      <w:r w:rsidRPr="00D80C4D">
        <w:rPr>
          <w:rFonts w:hAnsi="宋体"/>
          <w:sz w:val="20"/>
          <w:szCs w:val="20"/>
        </w:rPr>
        <w:t>SPV</w:t>
      </w:r>
      <w:r w:rsidRPr="00D80C4D">
        <w:rPr>
          <w:rFonts w:hAnsi="宋体" w:hint="eastAsia"/>
          <w:sz w:val="20"/>
          <w:szCs w:val="20"/>
        </w:rPr>
        <w:t>按照《项目公司股权转让协议》的约定收购项目公司全部股权，并支付股权转让价款。根据《项目公司股权转让协议》的约定，《项目公司股权转让协议》解除情形主要包括：各方一致同意提前终止《项目公司股权转让协议》；因违约方的持续违约行为导致《项目公司股权转让协议》继续履行不可能或没有意义的，守约方有权提前终止《项目公司股权转让协议》；若目标股权的最终转让价款低于按照国有产权交易相关规定进行备案的股权评估价值，则《项目公司股权转让协议》自动终止；专项计划未能成功设立。若发生《项目公司股权转让协议》约定的解除情形且相关方解除《项目公司股权转让协议》的，本基金将无法完成对项目公司的股权收购，存在交易失败的风险。</w:t>
      </w:r>
    </w:p>
    <w:p w14:paraId="6352EF2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2</w:t>
      </w:r>
      <w:r w:rsidRPr="00D80C4D">
        <w:rPr>
          <w:rFonts w:hAnsi="宋体" w:hint="eastAsia"/>
          <w:sz w:val="20"/>
          <w:szCs w:val="20"/>
        </w:rPr>
        <w:t>）吸收合并未及时完成或最终未完成导致收益降低的风险</w:t>
      </w:r>
    </w:p>
    <w:p w14:paraId="7FADA64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根据相关交易文件的约定，在完成专项计划设立、收购</w:t>
      </w:r>
      <w:r w:rsidRPr="00D80C4D">
        <w:rPr>
          <w:rFonts w:hAnsi="宋体"/>
          <w:sz w:val="20"/>
          <w:szCs w:val="20"/>
        </w:rPr>
        <w:t>SPV</w:t>
      </w:r>
      <w:r w:rsidRPr="00D80C4D">
        <w:rPr>
          <w:rFonts w:hAnsi="宋体" w:hint="eastAsia"/>
          <w:sz w:val="20"/>
          <w:szCs w:val="20"/>
        </w:rPr>
        <w:t>以及</w:t>
      </w:r>
      <w:r w:rsidRPr="00D80C4D">
        <w:rPr>
          <w:rFonts w:hAnsi="宋体"/>
          <w:sz w:val="20"/>
          <w:szCs w:val="20"/>
        </w:rPr>
        <w:t>SPV</w:t>
      </w:r>
      <w:r w:rsidRPr="00D80C4D">
        <w:rPr>
          <w:rFonts w:hAnsi="宋体" w:hint="eastAsia"/>
          <w:sz w:val="20"/>
          <w:szCs w:val="20"/>
        </w:rPr>
        <w:t>收购项目公司等一系列交易后，项目公司将吸收合并</w:t>
      </w:r>
      <w:r w:rsidRPr="00D80C4D">
        <w:rPr>
          <w:rFonts w:hAnsi="宋体"/>
          <w:sz w:val="20"/>
          <w:szCs w:val="20"/>
        </w:rPr>
        <w:t>SPV</w:t>
      </w:r>
      <w:r w:rsidRPr="00D80C4D">
        <w:rPr>
          <w:rFonts w:hAnsi="宋体" w:hint="eastAsia"/>
          <w:sz w:val="20"/>
          <w:szCs w:val="20"/>
        </w:rPr>
        <w:t>，</w:t>
      </w:r>
      <w:r w:rsidRPr="00D80C4D">
        <w:rPr>
          <w:rFonts w:hAnsi="宋体"/>
          <w:sz w:val="20"/>
          <w:szCs w:val="20"/>
        </w:rPr>
        <w:t>SPV</w:t>
      </w:r>
      <w:r w:rsidRPr="00D80C4D">
        <w:rPr>
          <w:rFonts w:hAnsi="宋体" w:hint="eastAsia"/>
          <w:sz w:val="20"/>
          <w:szCs w:val="20"/>
        </w:rPr>
        <w:t>所有财产及权利义务均由项目公司承受，使得</w:t>
      </w:r>
      <w:r w:rsidRPr="00D80C4D">
        <w:rPr>
          <w:rFonts w:hAnsi="宋体"/>
          <w:sz w:val="20"/>
          <w:szCs w:val="20"/>
        </w:rPr>
        <w:t>SPV</w:t>
      </w:r>
      <w:r w:rsidRPr="00D80C4D">
        <w:rPr>
          <w:rFonts w:hAnsi="宋体" w:hint="eastAsia"/>
          <w:sz w:val="20"/>
          <w:szCs w:val="20"/>
        </w:rPr>
        <w:t>对股东的债务下沉至项目公司层面，项目公司期间向股东支付的部分或全部股东借款利息可税前扣除，从而节约存续期间的企业所得税。若吸收合并无法按期完成或最终无法完成，将失去前述节税效果，进而影响本基金的收益水平。</w:t>
      </w:r>
    </w:p>
    <w:p w14:paraId="43D0B5F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3</w:t>
      </w:r>
      <w:r w:rsidRPr="00D80C4D">
        <w:rPr>
          <w:rFonts w:hAnsi="宋体" w:hint="eastAsia"/>
          <w:sz w:val="20"/>
          <w:szCs w:val="20"/>
        </w:rPr>
        <w:t>）本基金整体架构的交易结构较为复杂，交易结构的设计以及条款设置可能存在瑕疵，使得本基金的成立和存续面临法律和税务风险。</w:t>
      </w:r>
    </w:p>
    <w:p w14:paraId="38E21D0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8</w:t>
      </w:r>
      <w:r w:rsidRPr="00D80C4D">
        <w:rPr>
          <w:rFonts w:hAnsi="宋体" w:hint="eastAsia"/>
          <w:sz w:val="20"/>
          <w:szCs w:val="20"/>
        </w:rPr>
        <w:t>、本次扩募并新购入基础设施项目风险</w:t>
      </w:r>
    </w:p>
    <w:p w14:paraId="55813E6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1</w:t>
      </w:r>
      <w:r w:rsidRPr="00D80C4D">
        <w:rPr>
          <w:rFonts w:hAnsi="宋体" w:hint="eastAsia"/>
          <w:sz w:val="20"/>
          <w:szCs w:val="20"/>
        </w:rPr>
        <w:t>）扩募发售失败风险</w:t>
      </w:r>
    </w:p>
    <w:p w14:paraId="5A440EF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本基金在扩募发售时，将受到证券市场整体情况、投资者对本次扩募发售方案的认可程度、向原持有人配售的发售系统和相关技术的成熟度等多种内外部因素的影响，存在基金扩募份额总额未达到准予注册规模的</w:t>
      </w:r>
      <w:r w:rsidRPr="00D80C4D">
        <w:rPr>
          <w:rFonts w:hAnsi="宋体"/>
          <w:sz w:val="20"/>
          <w:szCs w:val="20"/>
        </w:rPr>
        <w:t>80%</w:t>
      </w:r>
      <w:r w:rsidRPr="00D80C4D">
        <w:rPr>
          <w:rFonts w:hAnsi="宋体" w:hint="eastAsia"/>
          <w:sz w:val="20"/>
          <w:szCs w:val="20"/>
        </w:rPr>
        <w:t>、新购入基础设施项目的原始权益人或者其同一控制下的关联方等未按规定参与战略配售，以及其他导致基金扩募发售失败的情形而导致本基金扩募发售失败的风险。</w:t>
      </w:r>
    </w:p>
    <w:p w14:paraId="7FFE3AB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2</w:t>
      </w:r>
      <w:r w:rsidRPr="00D80C4D">
        <w:rPr>
          <w:rFonts w:hAnsi="宋体" w:hint="eastAsia"/>
          <w:sz w:val="20"/>
          <w:szCs w:val="20"/>
        </w:rPr>
        <w:t>）基金份额价格除权导致未参与配售或参与配售比例不足的原基金份额持有人损失的风险</w:t>
      </w:r>
    </w:p>
    <w:p w14:paraId="571F98C2" w14:textId="77777777" w:rsidR="00D80C4D" w:rsidRPr="00D80C4D" w:rsidRDefault="00181F9A" w:rsidP="00D80C4D">
      <w:pPr>
        <w:pStyle w:val="a3"/>
        <w:kinsoku w:val="0"/>
        <w:overflowPunct w:val="0"/>
        <w:spacing w:before="242" w:line="228" w:lineRule="auto"/>
        <w:ind w:left="0"/>
        <w:rPr>
          <w:rFonts w:hAnsi="宋体"/>
          <w:sz w:val="20"/>
          <w:szCs w:val="20"/>
        </w:rPr>
      </w:pPr>
      <w:r w:rsidRPr="00181F9A">
        <w:rPr>
          <w:rFonts w:hAnsi="宋体" w:hint="eastAsia"/>
          <w:sz w:val="20"/>
          <w:szCs w:val="20"/>
        </w:rPr>
        <w:t>本次扩募面向配售权益登记日登记在册的原基金份额持有人，按相同的配售比例进行配售。配售完成后，基金份额价格进行除权。若原持有人未参与配售或参与配售但实际参与配售比例小于本基金公告的配售比例的，可能面临除权后基金份额价格下降、持有权益稀释而带来损失的风险。如原持有人拟不参与配售，可以在配售权益登记日当日或之前选择卖出所持基金份额，以避免前述风险。</w:t>
      </w:r>
    </w:p>
    <w:p w14:paraId="7234245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3</w:t>
      </w:r>
      <w:r w:rsidRPr="00D80C4D">
        <w:rPr>
          <w:rFonts w:hAnsi="宋体" w:hint="eastAsia"/>
          <w:sz w:val="20"/>
          <w:szCs w:val="20"/>
        </w:rPr>
        <w:t>）摊薄即期回报的风险</w:t>
      </w:r>
    </w:p>
    <w:p w14:paraId="5562091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次扩募并新购入基础设施项目完成后，基金总资产及净资产均将有所增长，本基金新购入基础设施项目与已持有基础设施项目运营收入和可供分配金额在本基金合并计算。因此，如拟购入基础设施项目的即期运营收入未达预期，基金收益指标可能出现一定幅度的下降，基金份额持有人即期回报存在被摊薄的风险。</w:t>
      </w:r>
    </w:p>
    <w:p w14:paraId="2D03DD9F"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此外，本次扩募发售结果将受到宏观经济和行业发展情况、证券市场整体情况、前一阶段基金二级市场价格走势、投资者对基础设施证券投资基金的观点以及对本次发售方案的认可程度等多种内外部因素的影响，扩募发售结果可能影响本基金扩募后的基金总份额数量，进而影响单位基金份额即期回报被摊薄的幅度。</w:t>
      </w:r>
    </w:p>
    <w:p w14:paraId="0859F8E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4</w:t>
      </w:r>
      <w:r w:rsidRPr="00D80C4D">
        <w:rPr>
          <w:rFonts w:hAnsi="宋体" w:hint="eastAsia"/>
          <w:sz w:val="20"/>
          <w:szCs w:val="20"/>
        </w:rPr>
        <w:t>）发行前累计收益分配影响原基金份额持有人收益的风险</w:t>
      </w:r>
    </w:p>
    <w:p w14:paraId="7EAF5F9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次扩募发行完成前最近一次收益分配基准日至本次扩募发行完成相关监管备案程序之日产生的累计可供分配金额将由配售完成后的全体基金份额持有人享有，每一基金份额享有同等分配权。收益分配的具体信息以基金管理人届时披露的收益分配公告为准。在上述累计收益的分配的安排下，若配售权益登记日登记在册的基金份额持有人未参与配售或参与配售比例小于本基金本次公告的配售比例的，可能导致该等基金份额持有人面临扩募后首次现金分派被摊薄的风险。</w:t>
      </w:r>
    </w:p>
    <w:p w14:paraId="28F3B06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5</w:t>
      </w:r>
      <w:r w:rsidRPr="00D80C4D">
        <w:rPr>
          <w:rFonts w:hAnsi="宋体" w:hint="eastAsia"/>
          <w:sz w:val="20"/>
          <w:szCs w:val="20"/>
        </w:rPr>
        <w:t>）基金扩募导致基金份额持有人结构变化风险</w:t>
      </w:r>
    </w:p>
    <w:p w14:paraId="27C312E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次扩募发售完成后，本基金基金份额总数增加，若存在部分原基金份额持有人未参与向原持有人配售的，则扩募发售前的投资者以及投资者所持份额比例将发生变化，因此导致基金份额持有人的结构发生变化，进而影响投资者在基金份额持有人大会中的表决权比例。</w:t>
      </w:r>
    </w:p>
    <w:p w14:paraId="01B8ACDE"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6</w:t>
      </w:r>
      <w:r w:rsidRPr="00D80C4D">
        <w:rPr>
          <w:rFonts w:hAnsi="宋体" w:hint="eastAsia"/>
          <w:sz w:val="20"/>
          <w:szCs w:val="20"/>
        </w:rPr>
        <w:t>）实施交易期间发生实质性变动的风险</w:t>
      </w:r>
    </w:p>
    <w:p w14:paraId="24CC73A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lastRenderedPageBreak/>
        <w:t>本基金涉及新购入基础设施项目并安排扩募的，在实施基础设施项目交易的过程中，存在发生重大事项导致交易发生实质性变动而需重新履行变更注册程序并提交基金份额持有人大会审议的风险。</w:t>
      </w:r>
    </w:p>
    <w:p w14:paraId="527E821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9</w:t>
      </w:r>
      <w:r w:rsidRPr="00D80C4D">
        <w:rPr>
          <w:rFonts w:hAnsi="宋体" w:hint="eastAsia"/>
          <w:sz w:val="20"/>
          <w:szCs w:val="20"/>
        </w:rPr>
        <w:t>、管理风险</w:t>
      </w:r>
    </w:p>
    <w:p w14:paraId="5A50F5A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础设施基金产品结构与其他证券投资基金相比较为复杂，在存续过程中，依赖于基金及专项计划管理人对基金资产的管理，以及基金管理人聘请的运营管理机构对基础设施项目的运营及管理，相关机构人员可能因知识、经验、管理水平、技术手段等限制，影响其对信息的处理以及对经济形势的判断，未能做出最佳管理决策或实施最佳策略，从而影响到基金的收益水平。</w:t>
      </w:r>
    </w:p>
    <w:p w14:paraId="6EED174E"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10</w:t>
      </w:r>
      <w:r w:rsidRPr="00D80C4D">
        <w:rPr>
          <w:rFonts w:hAnsi="宋体" w:hint="eastAsia"/>
          <w:sz w:val="20"/>
          <w:szCs w:val="20"/>
        </w:rPr>
        <w:t>、资产支持证券投资的流动性风险</w:t>
      </w:r>
    </w:p>
    <w:p w14:paraId="18A3ED0C"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本基金持有基础设施资产支持证券全部份额，如发生特殊情况需要处置基础设施资产支持证券，可能会由于资产支持证券流动性较弱从而给证券持有人带来损失（如证券不能卖出或贬值出售等）。</w:t>
      </w:r>
    </w:p>
    <w:p w14:paraId="63C9937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11</w:t>
      </w:r>
      <w:r w:rsidRPr="00D80C4D">
        <w:rPr>
          <w:rFonts w:hAnsi="宋体" w:hint="eastAsia"/>
          <w:sz w:val="20"/>
          <w:szCs w:val="20"/>
        </w:rPr>
        <w:t>、操作或技术风险</w:t>
      </w:r>
    </w:p>
    <w:p w14:paraId="472A24B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相关当事人在业务各环节操作过程中，因内部控制存在缺陷或者人为因素造成操作失误或违反操作规程等引致的风险，例如，越权违规交易、会计部门欺诈、交易错误、</w:t>
      </w:r>
      <w:r w:rsidRPr="00D80C4D">
        <w:rPr>
          <w:rFonts w:hAnsi="宋体"/>
          <w:sz w:val="20"/>
          <w:szCs w:val="20"/>
        </w:rPr>
        <w:t>IT</w:t>
      </w:r>
      <w:r w:rsidRPr="00D80C4D">
        <w:rPr>
          <w:rFonts w:hAnsi="宋体" w:hint="eastAsia"/>
          <w:sz w:val="20"/>
          <w:szCs w:val="20"/>
        </w:rPr>
        <w:t>系统故障等风险。</w:t>
      </w:r>
    </w:p>
    <w:p w14:paraId="36CFC2C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在本基金的各种交易行为或者后台运作中，可能因为技术系统的故障或者差错而影响交易的正常进行或者导致投资者的利益受到影响。这种技术风险可能来自基金管理公司、登记结算机构、销售机构、证券交易所、证券登记结算机构等。</w:t>
      </w:r>
    </w:p>
    <w:p w14:paraId="5B6FD92E"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根据证券交易资金前端风险控制相关业务规则，中登公司和交易所对交易参与人的证券交易资金进行前端额度控制，由于执行、调整、暂停该控制，或该控制出现异常等，可能影响交易的正常进行或者导致投资者的利益受到影响。</w:t>
      </w:r>
    </w:p>
    <w:p w14:paraId="6CEB9CD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12</w:t>
      </w:r>
      <w:r w:rsidRPr="00D80C4D">
        <w:rPr>
          <w:rFonts w:hAnsi="宋体" w:hint="eastAsia"/>
          <w:sz w:val="20"/>
          <w:szCs w:val="20"/>
        </w:rPr>
        <w:t>、利益冲突风险</w:t>
      </w:r>
    </w:p>
    <w:p w14:paraId="25ECC9DC"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设立后，基金管理人还将管理其他与本基金同类型的基础设施基金；基金管理人聘请的运营管理机构可能持有或为其他同类型的基础设施项目提供运营管理服务；原始权益人也可能持有或管理其他同类型的基础设施项目等。由于上述情况，本基金的关联方可能与本基金存在一定的利益冲突。</w:t>
      </w:r>
    </w:p>
    <w:p w14:paraId="0808CA2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13</w:t>
      </w:r>
      <w:r w:rsidRPr="00D80C4D">
        <w:rPr>
          <w:rFonts w:hAnsi="宋体" w:hint="eastAsia"/>
          <w:sz w:val="20"/>
          <w:szCs w:val="20"/>
        </w:rPr>
        <w:t>、政策变更风险</w:t>
      </w:r>
    </w:p>
    <w:p w14:paraId="5440DE3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因相关法律法规或监管机构政策修改等基金管理人无法控制的因素的变化，使基金或投资者利益受到影响的风险，例如，监管机构基金估值政策的修改导致基金估值方法的调整而引起基金净值波动的风险、相关法规的修改导致基金投资范围变化，基金管理人为调整投资组合而引起基金净值波动的风险等。</w:t>
      </w:r>
    </w:p>
    <w:p w14:paraId="579AA55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14</w:t>
      </w:r>
      <w:r w:rsidRPr="00D80C4D">
        <w:rPr>
          <w:rFonts w:hAnsi="宋体" w:hint="eastAsia"/>
          <w:sz w:val="20"/>
          <w:szCs w:val="20"/>
        </w:rPr>
        <w:t>、市场风险</w:t>
      </w:r>
    </w:p>
    <w:p w14:paraId="62C6235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本基金投资于基础设施资产支持证券的比例不低于</w:t>
      </w:r>
      <w:r w:rsidRPr="00D80C4D">
        <w:rPr>
          <w:rFonts w:hAnsi="宋体"/>
          <w:sz w:val="20"/>
          <w:szCs w:val="20"/>
        </w:rPr>
        <w:t>80%</w:t>
      </w:r>
      <w:r w:rsidRPr="00D80C4D">
        <w:rPr>
          <w:rFonts w:hAnsi="宋体" w:hint="eastAsia"/>
          <w:sz w:val="20"/>
          <w:szCs w:val="20"/>
        </w:rPr>
        <w:t>，投资于利率债、</w:t>
      </w:r>
      <w:r w:rsidRPr="00D80C4D">
        <w:rPr>
          <w:rFonts w:hAnsi="宋体"/>
          <w:sz w:val="20"/>
          <w:szCs w:val="20"/>
        </w:rPr>
        <w:t>AAA</w:t>
      </w:r>
      <w:r w:rsidRPr="00D80C4D">
        <w:rPr>
          <w:rFonts w:hAnsi="宋体" w:hint="eastAsia"/>
          <w:sz w:val="20"/>
          <w:szCs w:val="20"/>
        </w:rPr>
        <w:t>级信用债、货币市场工具的比例不超过</w:t>
      </w:r>
      <w:r w:rsidRPr="00D80C4D">
        <w:rPr>
          <w:rFonts w:hAnsi="宋体"/>
          <w:sz w:val="20"/>
          <w:szCs w:val="20"/>
        </w:rPr>
        <w:t>20%</w:t>
      </w:r>
      <w:r w:rsidRPr="00D80C4D">
        <w:rPr>
          <w:rFonts w:hAnsi="宋体" w:hint="eastAsia"/>
          <w:sz w:val="20"/>
          <w:szCs w:val="20"/>
        </w:rPr>
        <w:t>。证券市场价格因受各种因素的影响而引起的波动，将使本基金资产面临潜在的风险。市场风险主要为债券投资风险，主要包括：</w:t>
      </w:r>
    </w:p>
    <w:p w14:paraId="6646C2E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1</w:t>
      </w:r>
      <w:r w:rsidRPr="00D80C4D">
        <w:rPr>
          <w:rFonts w:hAnsi="宋体" w:hint="eastAsia"/>
          <w:sz w:val="20"/>
          <w:szCs w:val="20"/>
        </w:rPr>
        <w:t>）信用风险</w:t>
      </w:r>
    </w:p>
    <w:p w14:paraId="43B0134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金在交易过程中发生交收违约，或者基金所投资债券之发行人出现违约、拒绝支付到期本息，或由于债券发行人信用质量降低导致债券价格下降，或者债券回购交易到期时交易对手方不能履行付款或结算义务等，造成基金资产损失的风险。</w:t>
      </w:r>
    </w:p>
    <w:p w14:paraId="54DF575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2</w:t>
      </w:r>
      <w:r w:rsidRPr="00D80C4D">
        <w:rPr>
          <w:rFonts w:hAnsi="宋体" w:hint="eastAsia"/>
          <w:sz w:val="20"/>
          <w:szCs w:val="20"/>
        </w:rPr>
        <w:t>）利率风险</w:t>
      </w:r>
    </w:p>
    <w:p w14:paraId="17267D5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市场利率波动会导致债券市场的收益率和价格的变动，如果市场利率上升，本基金持有债券将面临价格下降、本金损失的风险，而如果市场利率下降，债券利息的再投资收益将面临下降的风险。</w:t>
      </w:r>
    </w:p>
    <w:p w14:paraId="3AA28F0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3</w:t>
      </w:r>
      <w:r w:rsidRPr="00D80C4D">
        <w:rPr>
          <w:rFonts w:hAnsi="宋体" w:hint="eastAsia"/>
          <w:sz w:val="20"/>
          <w:szCs w:val="20"/>
        </w:rPr>
        <w:t>）收益率曲线风险</w:t>
      </w:r>
    </w:p>
    <w:p w14:paraId="0955CA0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如果基金对长、中、短期债券的持有结构与基准存在差异，长、中、短期债券的相对价格发生变化时，基金资产的收益可能低于基准。</w:t>
      </w:r>
    </w:p>
    <w:p w14:paraId="3B3410C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lastRenderedPageBreak/>
        <w:t>（</w:t>
      </w:r>
      <w:r w:rsidRPr="00D80C4D">
        <w:rPr>
          <w:rFonts w:hAnsi="宋体"/>
          <w:sz w:val="20"/>
          <w:szCs w:val="20"/>
        </w:rPr>
        <w:t>4</w:t>
      </w:r>
      <w:r w:rsidRPr="00D80C4D">
        <w:rPr>
          <w:rFonts w:hAnsi="宋体" w:hint="eastAsia"/>
          <w:sz w:val="20"/>
          <w:szCs w:val="20"/>
        </w:rPr>
        <w:t>）利差风险</w:t>
      </w:r>
    </w:p>
    <w:p w14:paraId="5774C93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债券市场不同期限、不同类属债券之间的利差变动导致相应期限和类属债券价格变化的风险。</w:t>
      </w:r>
    </w:p>
    <w:p w14:paraId="3658D0F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5</w:t>
      </w:r>
      <w:r w:rsidRPr="00D80C4D">
        <w:rPr>
          <w:rFonts w:hAnsi="宋体" w:hint="eastAsia"/>
          <w:sz w:val="20"/>
          <w:szCs w:val="20"/>
        </w:rPr>
        <w:t>）市场供需风险</w:t>
      </w:r>
    </w:p>
    <w:p w14:paraId="0854BF11"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如果宏观经济环境、政府财政政策、市场监管政策、市场参与主体经营环境等发生变化，债券市场参与主体可用资金数量和债券市场可供投资的债券数量可能发生相应的变化，最终影响债券市场的供需关系，造成基金资产投资收益的变化。</w:t>
      </w:r>
    </w:p>
    <w:p w14:paraId="363298E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6</w:t>
      </w:r>
      <w:r w:rsidRPr="00D80C4D">
        <w:rPr>
          <w:rFonts w:hAnsi="宋体" w:hint="eastAsia"/>
          <w:sz w:val="20"/>
          <w:szCs w:val="20"/>
        </w:rPr>
        <w:t>）购买力风险</w:t>
      </w:r>
    </w:p>
    <w:p w14:paraId="4E21032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基金投资所取得的收益率有可能低于通货膨胀率，从而导致投资者持有本基金资产实际购买力下降。</w:t>
      </w:r>
    </w:p>
    <w:p w14:paraId="6382C73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15</w:t>
      </w:r>
      <w:r w:rsidRPr="00D80C4D">
        <w:rPr>
          <w:rFonts w:hAnsi="宋体" w:hint="eastAsia"/>
          <w:sz w:val="20"/>
          <w:szCs w:val="20"/>
        </w:rPr>
        <w:t>、基金份额交易价格折溢价风险</w:t>
      </w:r>
    </w:p>
    <w:p w14:paraId="2B212681"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基金合同生效后，将根据相关法律法规申请在交易所上市。本基金基金份额上市交易后，在每个交易日的交易时间将根据相关交易规则确定交易价格，该交易价格可能受本基金投资的基础设施项目经营情况、所在行业情况、市场情绪及供求关系等因素影响；此外，本基金还将按照相关业务规则、基金合同约定进行估值并披露基金份额净值等信息。由于基金份额交易价格与基金份额净值形成机制以及影响因素不同，存在基金份额交易价格相对于基金份额净值折溢价的风险。</w:t>
      </w:r>
    </w:p>
    <w:p w14:paraId="31CEEC1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16</w:t>
      </w:r>
      <w:r w:rsidRPr="00D80C4D">
        <w:rPr>
          <w:rFonts w:hAnsi="宋体" w:hint="eastAsia"/>
          <w:sz w:val="20"/>
          <w:szCs w:val="20"/>
        </w:rPr>
        <w:t>、基金提前终止的风险</w:t>
      </w:r>
    </w:p>
    <w:p w14:paraId="6A4333C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本基金存续期限为自初始基金合同生效之日起</w:t>
      </w:r>
      <w:r w:rsidRPr="00D80C4D">
        <w:rPr>
          <w:rFonts w:hAnsi="宋体"/>
          <w:sz w:val="20"/>
          <w:szCs w:val="20"/>
        </w:rPr>
        <w:t>68</w:t>
      </w:r>
      <w:r w:rsidRPr="00D80C4D">
        <w:rPr>
          <w:rFonts w:hAnsi="宋体" w:hint="eastAsia"/>
          <w:sz w:val="20"/>
          <w:szCs w:val="20"/>
        </w:rPr>
        <w:t>年，而根据相关法律及证照，本基金成立时投资的基础设施项目的土地使用权将于</w:t>
      </w:r>
      <w:r w:rsidRPr="00D80C4D">
        <w:rPr>
          <w:rFonts w:hAnsi="宋体"/>
          <w:sz w:val="20"/>
          <w:szCs w:val="20"/>
        </w:rPr>
        <w:t>2088</w:t>
      </w:r>
      <w:r w:rsidRPr="00D80C4D">
        <w:rPr>
          <w:rFonts w:hAnsi="宋体" w:hint="eastAsia"/>
          <w:sz w:val="20"/>
          <w:szCs w:val="20"/>
        </w:rPr>
        <w:t>年到期，本次扩募拟投资的基础设施项目的土地使用权将于</w:t>
      </w:r>
      <w:r w:rsidRPr="00D80C4D">
        <w:rPr>
          <w:rFonts w:hAnsi="宋体"/>
          <w:sz w:val="20"/>
          <w:szCs w:val="20"/>
        </w:rPr>
        <w:t>2090</w:t>
      </w:r>
      <w:r w:rsidRPr="00D80C4D">
        <w:rPr>
          <w:rFonts w:hAnsi="宋体" w:hint="eastAsia"/>
          <w:sz w:val="20"/>
          <w:szCs w:val="20"/>
        </w:rPr>
        <w:t>年到期。基金管理人将根据实际情况选择于土地使用权期限届满前申请续期。如果续期申请获批准，土地使用权人将有可能需要满足其他条件并支付相应价款及税款。受制于相关法律法规和政府部门的最终批准，基金管理人不保证土地使用权一定能够续期。在后续未成功扩募的情况下，存在基金提前终止的风险。</w:t>
      </w:r>
    </w:p>
    <w:p w14:paraId="2F26067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17</w:t>
      </w:r>
      <w:r w:rsidRPr="00D80C4D">
        <w:rPr>
          <w:rFonts w:hAnsi="宋体" w:hint="eastAsia"/>
          <w:sz w:val="20"/>
          <w:szCs w:val="20"/>
        </w:rPr>
        <w:t>、其他风险</w:t>
      </w:r>
    </w:p>
    <w:p w14:paraId="60D33E1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战争、自然灾害等不可抗力因素的出现，将会严重影响证券市场的运行，可能导致基金资产的损失。金融市场危机、行业竞争、代理机构违约等超出基金管理人自身直接控制能力之外的风险，可能导致基金或者基金份额持有人利益受损。</w:t>
      </w:r>
    </w:p>
    <w:p w14:paraId="230245BC" w14:textId="77777777" w:rsidR="00D80C4D" w:rsidRPr="00D80C4D" w:rsidRDefault="00D80C4D" w:rsidP="00D80C4D">
      <w:pPr>
        <w:pStyle w:val="a3"/>
        <w:kinsoku w:val="0"/>
        <w:overflowPunct w:val="0"/>
        <w:spacing w:before="242" w:line="228" w:lineRule="auto"/>
        <w:ind w:left="0"/>
        <w:rPr>
          <w:rFonts w:hAnsi="宋体"/>
          <w:b/>
          <w:bCs/>
          <w:sz w:val="20"/>
          <w:szCs w:val="20"/>
        </w:rPr>
      </w:pPr>
      <w:r w:rsidRPr="00D80C4D">
        <w:rPr>
          <w:rFonts w:hAnsi="宋体" w:hint="eastAsia"/>
          <w:b/>
          <w:bCs/>
          <w:sz w:val="20"/>
          <w:szCs w:val="20"/>
        </w:rPr>
        <w:t>（二）与基础设施项目相关的风险</w:t>
      </w:r>
    </w:p>
    <w:p w14:paraId="293A126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w:t>
      </w:r>
      <w:r w:rsidRPr="00D80C4D">
        <w:rPr>
          <w:rFonts w:hAnsi="宋体" w:hint="eastAsia"/>
          <w:sz w:val="20"/>
          <w:szCs w:val="20"/>
        </w:rPr>
        <w:t>、政策风险</w:t>
      </w:r>
    </w:p>
    <w:p w14:paraId="33E1538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1</w:t>
      </w:r>
      <w:r w:rsidRPr="00D80C4D">
        <w:rPr>
          <w:rFonts w:hAnsi="宋体" w:hint="eastAsia"/>
          <w:sz w:val="20"/>
          <w:szCs w:val="20"/>
        </w:rPr>
        <w:t>）产业政策及行业管理风险</w:t>
      </w:r>
    </w:p>
    <w:p w14:paraId="664E7F3E"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投资的基础设施项目的现金流主要由项目公司的租赁住房出租租金收入等业务收入提供。基础设施项目已经纳入上海市保障性租赁住房统一管理范围，其租赁定价标准受政府相关部门指导。如未来国家或上海市关于保障性租赁住房政策发生变化，包括但不限于租赁价格指导、入住审核条件趋严等，可能存在因此导致基础设施项目运营收入降低的风险。</w:t>
      </w:r>
    </w:p>
    <w:p w14:paraId="6C744A8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2</w:t>
      </w:r>
      <w:r w:rsidRPr="00D80C4D">
        <w:rPr>
          <w:rFonts w:hAnsi="宋体" w:hint="eastAsia"/>
          <w:sz w:val="20"/>
          <w:szCs w:val="20"/>
        </w:rPr>
        <w:t>）土地使用政策风险</w:t>
      </w:r>
    </w:p>
    <w:p w14:paraId="445B470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本基金所持有的基础设施项目的部分土地类型包括集体建设用地，如未来关于集体建设用地的相关政策发生变化，可能对基础设施项目运营产生不利影响。</w:t>
      </w:r>
    </w:p>
    <w:p w14:paraId="7CC09D4C"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3</w:t>
      </w:r>
      <w:r w:rsidRPr="00D80C4D">
        <w:rPr>
          <w:rFonts w:hAnsi="宋体" w:hint="eastAsia"/>
          <w:sz w:val="20"/>
          <w:szCs w:val="20"/>
        </w:rPr>
        <w:t>）基础设施证券投资基金政策风险</w:t>
      </w:r>
    </w:p>
    <w:p w14:paraId="045F70F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目前基础设施证券投资基金是证券市场的创新产品，基础设施证券投资基金的相关的法规制度还在逐步建立和完善之中，如果有关法律、法规、政策发生变化，可能会对本基金产生影响。</w:t>
      </w:r>
    </w:p>
    <w:p w14:paraId="5C7C524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4</w:t>
      </w:r>
      <w:r w:rsidRPr="00D80C4D">
        <w:rPr>
          <w:rFonts w:hAnsi="宋体" w:hint="eastAsia"/>
          <w:sz w:val="20"/>
          <w:szCs w:val="20"/>
        </w:rPr>
        <w:t>）租赁住房税收优惠政策无法延续适用导致现金流下降的风险</w:t>
      </w:r>
    </w:p>
    <w:p w14:paraId="286D0BE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基础设施项目已获得保障性租赁住房项目认定书。项目公司根据《关于完善住房租赁有关税收政策的公告》（财政</w:t>
      </w:r>
      <w:r w:rsidRPr="00D80C4D">
        <w:rPr>
          <w:rFonts w:hAnsi="宋体" w:hint="eastAsia"/>
          <w:sz w:val="20"/>
          <w:szCs w:val="20"/>
        </w:rPr>
        <w:lastRenderedPageBreak/>
        <w:t>部</w:t>
      </w:r>
      <w:r w:rsidRPr="00D80C4D">
        <w:rPr>
          <w:rFonts w:hAnsi="宋体"/>
          <w:sz w:val="20"/>
          <w:szCs w:val="20"/>
        </w:rPr>
        <w:t xml:space="preserve"> </w:t>
      </w:r>
      <w:r w:rsidRPr="00D80C4D">
        <w:rPr>
          <w:rFonts w:hAnsi="宋体" w:hint="eastAsia"/>
          <w:sz w:val="20"/>
          <w:szCs w:val="20"/>
        </w:rPr>
        <w:t>税务总局</w:t>
      </w:r>
      <w:r w:rsidRPr="00D80C4D">
        <w:rPr>
          <w:rFonts w:hAnsi="宋体"/>
          <w:sz w:val="20"/>
          <w:szCs w:val="20"/>
        </w:rPr>
        <w:t xml:space="preserve"> </w:t>
      </w:r>
      <w:r w:rsidRPr="00D80C4D">
        <w:rPr>
          <w:rFonts w:hAnsi="宋体" w:hint="eastAsia"/>
          <w:sz w:val="20"/>
          <w:szCs w:val="20"/>
        </w:rPr>
        <w:t>住房城乡建设部公告</w:t>
      </w:r>
      <w:r w:rsidRPr="00D80C4D">
        <w:rPr>
          <w:rFonts w:hAnsi="宋体"/>
          <w:sz w:val="20"/>
          <w:szCs w:val="20"/>
        </w:rPr>
        <w:t>2021</w:t>
      </w:r>
      <w:r w:rsidRPr="00D80C4D">
        <w:rPr>
          <w:rFonts w:hAnsi="宋体" w:hint="eastAsia"/>
          <w:sz w:val="20"/>
          <w:szCs w:val="20"/>
        </w:rPr>
        <w:t>年第</w:t>
      </w:r>
      <w:r w:rsidRPr="00D80C4D">
        <w:rPr>
          <w:rFonts w:hAnsi="宋体"/>
          <w:sz w:val="20"/>
          <w:szCs w:val="20"/>
        </w:rPr>
        <w:t>24</w:t>
      </w:r>
      <w:r w:rsidRPr="00D80C4D">
        <w:rPr>
          <w:rFonts w:hAnsi="宋体" w:hint="eastAsia"/>
          <w:sz w:val="20"/>
          <w:szCs w:val="20"/>
        </w:rPr>
        <w:t>号）规定，向个人出租住房取得的收入可选择适用简易计税方法，按照</w:t>
      </w:r>
      <w:r w:rsidRPr="00D80C4D">
        <w:rPr>
          <w:rFonts w:hAnsi="宋体"/>
          <w:sz w:val="20"/>
          <w:szCs w:val="20"/>
        </w:rPr>
        <w:t>5%</w:t>
      </w:r>
      <w:r w:rsidRPr="00D80C4D">
        <w:rPr>
          <w:rFonts w:hAnsi="宋体" w:hint="eastAsia"/>
          <w:sz w:val="20"/>
          <w:szCs w:val="20"/>
        </w:rPr>
        <w:t>的征收率减按</w:t>
      </w:r>
      <w:r w:rsidRPr="00D80C4D">
        <w:rPr>
          <w:rFonts w:hAnsi="宋体"/>
          <w:sz w:val="20"/>
          <w:szCs w:val="20"/>
        </w:rPr>
        <w:t>1.5%</w:t>
      </w:r>
      <w:r w:rsidRPr="00D80C4D">
        <w:rPr>
          <w:rFonts w:hAnsi="宋体" w:hint="eastAsia"/>
          <w:sz w:val="20"/>
          <w:szCs w:val="20"/>
        </w:rPr>
        <w:t>计算缴纳增值税；向个人、专业化规模化住房租赁企业出租住房的，减按</w:t>
      </w:r>
      <w:r w:rsidRPr="00D80C4D">
        <w:rPr>
          <w:rFonts w:hAnsi="宋体"/>
          <w:sz w:val="20"/>
          <w:szCs w:val="20"/>
        </w:rPr>
        <w:t>4%</w:t>
      </w:r>
      <w:r w:rsidRPr="00D80C4D">
        <w:rPr>
          <w:rFonts w:hAnsi="宋体" w:hint="eastAsia"/>
          <w:sz w:val="20"/>
          <w:szCs w:val="20"/>
        </w:rPr>
        <w:t>的税率征收房产税。未来若保障性租赁住房税收优惠政策调整或者基础设施项目不满足税收优惠政策适用的条件，则存在项目公司相关税费支出增加，基金可供分配金额下降的风险。</w:t>
      </w:r>
    </w:p>
    <w:p w14:paraId="7A6EEA9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w:t>
      </w:r>
      <w:r w:rsidRPr="00D80C4D">
        <w:rPr>
          <w:rFonts w:hAnsi="宋体" w:hint="eastAsia"/>
          <w:sz w:val="20"/>
          <w:szCs w:val="20"/>
        </w:rPr>
        <w:t>、市场风险</w:t>
      </w:r>
    </w:p>
    <w:p w14:paraId="0C2ABA3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所持有的基础设施资产类别为租赁住房，租赁住房的行业和区域集中度较高。若租赁住房行业前景、经营环境发生变化或受到地方经济变化、人口变化、疾病等外界因素重大影响，可能导致基础设施项目运营收入不及预期，进而对基金的分配造成不利影响。</w:t>
      </w:r>
    </w:p>
    <w:p w14:paraId="5E36802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3</w:t>
      </w:r>
      <w:r w:rsidRPr="00D80C4D">
        <w:rPr>
          <w:rFonts w:hAnsi="宋体" w:hint="eastAsia"/>
          <w:sz w:val="20"/>
          <w:szCs w:val="20"/>
        </w:rPr>
        <w:t>、收入来源集中度较高的风险</w:t>
      </w:r>
    </w:p>
    <w:p w14:paraId="6BDF76D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本基金所持有的基础设施资产类别为租赁住房，且本基金投资于租赁住房行业基础设施资产支持证券的比例不低于非现金基金资产的</w:t>
      </w:r>
      <w:r w:rsidRPr="00D80C4D">
        <w:rPr>
          <w:rFonts w:hAnsi="宋体"/>
          <w:sz w:val="20"/>
          <w:szCs w:val="20"/>
        </w:rPr>
        <w:t>80%</w:t>
      </w:r>
      <w:r w:rsidRPr="00D80C4D">
        <w:rPr>
          <w:rFonts w:hAnsi="宋体" w:hint="eastAsia"/>
          <w:sz w:val="20"/>
          <w:szCs w:val="20"/>
        </w:rPr>
        <w:t>，收入来源集中度较高，本基金收益存在因租赁住房行业相关情况变化而发生波动的风险。</w:t>
      </w:r>
    </w:p>
    <w:p w14:paraId="76DFF18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4</w:t>
      </w:r>
      <w:r w:rsidRPr="00D80C4D">
        <w:rPr>
          <w:rFonts w:hAnsi="宋体" w:hint="eastAsia"/>
          <w:sz w:val="20"/>
          <w:szCs w:val="20"/>
        </w:rPr>
        <w:t>、运营风险</w:t>
      </w:r>
    </w:p>
    <w:p w14:paraId="08426C0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投资集中度高，收益率很大程度依赖基础设施项目运营情况。由于拟购入的基础设施项目运营时间较短，尚不足三年，缺乏历史数据，如基金管理人或运营管理机构经营管理能力不足、出租率波动、运营成本变动，导致实际现金流大幅低于测算现金流，则存在基金收益率不达预期的风险。有巢马桥项目租赁住房总数为</w:t>
      </w:r>
      <w:r w:rsidRPr="00D80C4D">
        <w:rPr>
          <w:rFonts w:hAnsi="宋体"/>
          <w:sz w:val="20"/>
          <w:szCs w:val="20"/>
        </w:rPr>
        <w:t>1,600</w:t>
      </w:r>
      <w:r w:rsidRPr="00D80C4D">
        <w:rPr>
          <w:rFonts w:hAnsi="宋体" w:hint="eastAsia"/>
          <w:sz w:val="20"/>
          <w:szCs w:val="20"/>
        </w:rPr>
        <w:t>套（对应房间数为</w:t>
      </w:r>
      <w:r w:rsidRPr="00D80C4D">
        <w:rPr>
          <w:rFonts w:hAnsi="宋体"/>
          <w:sz w:val="20"/>
          <w:szCs w:val="20"/>
        </w:rPr>
        <w:t>2,483</w:t>
      </w:r>
      <w:r w:rsidRPr="00D80C4D">
        <w:rPr>
          <w:rFonts w:hAnsi="宋体" w:hint="eastAsia"/>
          <w:sz w:val="20"/>
          <w:szCs w:val="20"/>
        </w:rPr>
        <w:t>间，其中</w:t>
      </w:r>
      <w:r w:rsidRPr="00D80C4D">
        <w:rPr>
          <w:rFonts w:hAnsi="宋体"/>
          <w:sz w:val="20"/>
          <w:szCs w:val="20"/>
        </w:rPr>
        <w:t>8</w:t>
      </w:r>
      <w:r w:rsidRPr="00D80C4D">
        <w:rPr>
          <w:rFonts w:hAnsi="宋体" w:hint="eastAsia"/>
          <w:sz w:val="20"/>
          <w:szCs w:val="20"/>
        </w:rPr>
        <w:t>间为自用，实际可出租为</w:t>
      </w:r>
      <w:r w:rsidRPr="00D80C4D">
        <w:rPr>
          <w:rFonts w:hAnsi="宋体"/>
          <w:sz w:val="20"/>
          <w:szCs w:val="20"/>
        </w:rPr>
        <w:t>2,475</w:t>
      </w:r>
      <w:r w:rsidRPr="00D80C4D">
        <w:rPr>
          <w:rFonts w:hAnsi="宋体" w:hint="eastAsia"/>
          <w:sz w:val="20"/>
          <w:szCs w:val="20"/>
        </w:rPr>
        <w:t>间），部分租赁住房按房间出租经营，该经营方式符合上海市相关政策规定。若未来相关政策、指导意见发生变化或政府、监管机构要求整改，或出现其他运营相关风险的，可能对基础设施项目经营产生不利影响。</w:t>
      </w:r>
    </w:p>
    <w:p w14:paraId="77378FE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5</w:t>
      </w:r>
      <w:r w:rsidRPr="00D80C4D">
        <w:rPr>
          <w:rFonts w:hAnsi="宋体" w:hint="eastAsia"/>
          <w:sz w:val="20"/>
          <w:szCs w:val="20"/>
        </w:rPr>
        <w:t>、处置风险</w:t>
      </w:r>
    </w:p>
    <w:p w14:paraId="29995E3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初始购入及本次拟新购入的基础设施项目为保障性租赁住房，其转让需要相关政府部门前置审批，受限于相关处置变现程序和届时市场环境的影响，未来如需对基础设施项目进行处置变现，处置过程的时间和变现金额具有一定的不确定性，从而影响基金份额持有人预期收益的实现。在极端情况下，本基金最终实现的变现资产可能将无法弥补对项目公司股权的投资本金，进而可能导致投资者亏损。</w:t>
      </w:r>
    </w:p>
    <w:p w14:paraId="7BBFA1F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在未来基础设施项目运营过程中，管理人将重点关注届时有效的法律法规、政策要求对于基础设施项目资产转让或项目公司股权转让相关交易流程及所需满足的前置条件规定，并在处置基础设施项目前，争取实施并解除相关限制转让，满足基础设施项目资产转让或项目公司股权转让相关交易流程及前置条件要求，从而缓释基础设施项目的处置风险。</w:t>
      </w:r>
    </w:p>
    <w:p w14:paraId="01B57FF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6</w:t>
      </w:r>
      <w:r w:rsidRPr="00D80C4D">
        <w:rPr>
          <w:rFonts w:hAnsi="宋体" w:hint="eastAsia"/>
          <w:sz w:val="20"/>
          <w:szCs w:val="20"/>
        </w:rPr>
        <w:t>、租金调整风险</w:t>
      </w:r>
    </w:p>
    <w:p w14:paraId="2AFAC454"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初始投资及拟新购入的基础设施项目已被认定为保障性租赁住房，严格按照国家和上海市关于保障性租赁住房的政策规定，项目租赁价格初次定价在同地段同品质市场租赁住房租金的九折以下，后续调价幅度不高于同地段同品质租赁住房同期增幅，且年增幅不高于</w:t>
      </w:r>
      <w:r w:rsidRPr="00D80C4D">
        <w:rPr>
          <w:rFonts w:hAnsi="宋体"/>
          <w:sz w:val="20"/>
          <w:szCs w:val="20"/>
        </w:rPr>
        <w:t>5%</w:t>
      </w:r>
      <w:r w:rsidRPr="00D80C4D">
        <w:rPr>
          <w:rFonts w:hAnsi="宋体" w:hint="eastAsia"/>
          <w:sz w:val="20"/>
          <w:szCs w:val="20"/>
        </w:rPr>
        <w:t>。受限于上述政策影响，基础设施项目租金调价可能不及预期，从而对基础设施项目产生不利影响。</w:t>
      </w:r>
    </w:p>
    <w:p w14:paraId="714A9AB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7</w:t>
      </w:r>
      <w:r w:rsidRPr="00D80C4D">
        <w:rPr>
          <w:rFonts w:hAnsi="宋体" w:hint="eastAsia"/>
          <w:sz w:val="20"/>
          <w:szCs w:val="20"/>
        </w:rPr>
        <w:t>、租户准入标准风险</w:t>
      </w:r>
    </w:p>
    <w:p w14:paraId="561D506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本基金初始购入及拟新购入的基础设施项目为位于上海市的保障性租赁住房，具有一定的政策属性。根据上海市政府发布的《关于加快发展本市保障性租赁住房的实施意见》（沪府办规〔</w:t>
      </w:r>
      <w:r w:rsidRPr="00D80C4D">
        <w:rPr>
          <w:rFonts w:hAnsi="宋体"/>
          <w:sz w:val="20"/>
          <w:szCs w:val="20"/>
        </w:rPr>
        <w:t>2021</w:t>
      </w:r>
      <w:r w:rsidRPr="00D80C4D">
        <w:rPr>
          <w:rFonts w:hAnsi="宋体" w:hint="eastAsia"/>
          <w:sz w:val="20"/>
          <w:szCs w:val="20"/>
        </w:rPr>
        <w:t>〕</w:t>
      </w:r>
      <w:r w:rsidRPr="00D80C4D">
        <w:rPr>
          <w:rFonts w:hAnsi="宋体"/>
          <w:sz w:val="20"/>
          <w:szCs w:val="20"/>
        </w:rPr>
        <w:t>12</w:t>
      </w:r>
      <w:r w:rsidRPr="00D80C4D">
        <w:rPr>
          <w:rFonts w:hAnsi="宋体" w:hint="eastAsia"/>
          <w:sz w:val="20"/>
          <w:szCs w:val="20"/>
        </w:rPr>
        <w:t>号），对保障性租赁住房的租户设定了相应准入标准：申请保障性租赁住房，需要同时满足以下两项基本准入条件：一是在本市合法就业、在职工作；二是在本市存在住房困难，住房困难的面积标准原则上按照家庭在本市一定区域范围内人均住房建筑面积低于</w:t>
      </w:r>
      <w:r w:rsidRPr="00D80C4D">
        <w:rPr>
          <w:rFonts w:hAnsi="宋体"/>
          <w:sz w:val="20"/>
          <w:szCs w:val="20"/>
        </w:rPr>
        <w:t>15</w:t>
      </w:r>
      <w:r w:rsidRPr="00D80C4D">
        <w:rPr>
          <w:rFonts w:hAnsi="宋体" w:hint="eastAsia"/>
          <w:sz w:val="20"/>
          <w:szCs w:val="20"/>
        </w:rPr>
        <w:t>平方米确定。产业园区、用人单位配套建设的保障性租赁住房，应当优先或定向供应本园区、本单位、本系统符合条件的职工。</w:t>
      </w:r>
    </w:p>
    <w:p w14:paraId="3DA2E3B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上述准入标准限定了租户的范围、基础设施项目的目标客群，一定程度上降低了基础设施项目的市场竞争力。另一方面，不排除未来政府调整租户准入标准的可能，如对租户准入标准的设置更加严格，则基础设施项目面临租赁需求进一步下降而导致租金收入下降的风险。</w:t>
      </w:r>
    </w:p>
    <w:p w14:paraId="2D071BA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8</w:t>
      </w:r>
      <w:r w:rsidRPr="00D80C4D">
        <w:rPr>
          <w:rFonts w:hAnsi="宋体" w:hint="eastAsia"/>
          <w:sz w:val="20"/>
          <w:szCs w:val="20"/>
        </w:rPr>
        <w:t>、租户履约风险</w:t>
      </w:r>
    </w:p>
    <w:p w14:paraId="04BCC1A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基础设施的租户包括企业租户和个人租户，租户数量较多、分散度较高。如在租赁合同期限内，租户因各种原因导</w:t>
      </w:r>
      <w:r w:rsidRPr="00D80C4D">
        <w:rPr>
          <w:rFonts w:hAnsi="宋体" w:hint="eastAsia"/>
          <w:sz w:val="20"/>
          <w:szCs w:val="20"/>
        </w:rPr>
        <w:lastRenderedPageBreak/>
        <w:t>致其履约能力下降，如企业租户的经营状况下行、个人租户的收入和支付能力下降等，租户不能按照租赁合同的约定交纳租金，导致违约、退租等情形，降低基础设施项目的出租率、现金流，从而对本基金的收益率产生不利影响。</w:t>
      </w:r>
    </w:p>
    <w:p w14:paraId="585D809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9</w:t>
      </w:r>
      <w:r w:rsidRPr="00D80C4D">
        <w:rPr>
          <w:rFonts w:hAnsi="宋体" w:hint="eastAsia"/>
          <w:sz w:val="20"/>
          <w:szCs w:val="20"/>
        </w:rPr>
        <w:t>、租约期限较短、到期相对集中风险</w:t>
      </w:r>
    </w:p>
    <w:p w14:paraId="161B6D7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基础设施项目中租赁住房的租约期限一般约为</w:t>
      </w:r>
      <w:r w:rsidRPr="00D80C4D">
        <w:rPr>
          <w:rFonts w:hAnsi="宋体"/>
          <w:sz w:val="20"/>
          <w:szCs w:val="20"/>
        </w:rPr>
        <w:t>1</w:t>
      </w:r>
      <w:r w:rsidRPr="00D80C4D">
        <w:rPr>
          <w:rFonts w:hAnsi="宋体" w:hint="eastAsia"/>
          <w:sz w:val="20"/>
          <w:szCs w:val="20"/>
        </w:rPr>
        <w:t>年，租约期限相对较短，由此导致租约在各季度到期比例相对较大，到期租约相对集中。若到期租约不再续租，同时未能及时进行招租，将导致空置期增加、出租率下降，进而影响基础设施项目运营收入，对基础设施基金的可供分配金额产生不利影响。</w:t>
      </w:r>
    </w:p>
    <w:p w14:paraId="35440A3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未来在运营过程中，应对租约集中到期的主要措施包括：①持续开展租约落位管控，合理设置租约到期时间，进一步优化租约到期分散度；②针对短期集中到期的情况，将通过提前</w:t>
      </w:r>
      <w:r w:rsidRPr="00D80C4D">
        <w:rPr>
          <w:rFonts w:hAnsi="宋体"/>
          <w:sz w:val="20"/>
          <w:szCs w:val="20"/>
        </w:rPr>
        <w:t>1-2</w:t>
      </w:r>
      <w:r w:rsidRPr="00D80C4D">
        <w:rPr>
          <w:rFonts w:hAnsi="宋体" w:hint="eastAsia"/>
          <w:sz w:val="20"/>
          <w:szCs w:val="20"/>
        </w:rPr>
        <w:t>月加大推广曝光率，以缓释租约集中到期导致的出租率波动；③随着基础设施项目的持续运营，长期租户沉淀，续租率水平逐渐提升，将有效减少租约集中到期的冲击；④运营管理机构有巢深圳具备丰富的租赁住房运营经验，建立了丰富的招租渠道，为基础设施项目持续稳定运营提供保障。</w:t>
      </w:r>
    </w:p>
    <w:p w14:paraId="0E487D2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10</w:t>
      </w:r>
      <w:r w:rsidRPr="00D80C4D">
        <w:rPr>
          <w:rFonts w:hAnsi="宋体" w:hint="eastAsia"/>
          <w:sz w:val="20"/>
          <w:szCs w:val="20"/>
        </w:rPr>
        <w:t>、基础设施项目租赁空闲期、换租期、装修改造、所在区位市场供求变化时，可能导致项目出租率波动的风险</w:t>
      </w:r>
    </w:p>
    <w:p w14:paraId="0DF527B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础设施项目的租赁空闲期及换租期可能会受到市场需求波动的影响，导致出租率下降，从而影响租金收益。对于未来装修改造，基础设施项目可利用换租、空置期开展相关工作，但不排除极端情况下由于大规模停业装修影响出租，导致出租率下降的情况。未来项目所在区域有同类项目新增供应时，可能会造成本项目竞争力不足，导致出租率下降。</w:t>
      </w:r>
    </w:p>
    <w:p w14:paraId="1101715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11</w:t>
      </w:r>
      <w:r w:rsidRPr="00D80C4D">
        <w:rPr>
          <w:rFonts w:hAnsi="宋体" w:hint="eastAsia"/>
          <w:sz w:val="20"/>
          <w:szCs w:val="20"/>
        </w:rPr>
        <w:t>、基础设施项目运营因优惠取消而面临波动风险</w:t>
      </w:r>
    </w:p>
    <w:p w14:paraId="7F65287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有巢马桥项目平均实收租金是客户在享受折扣、免租和优惠券等优惠后的支付金额。有巢马桥项目的经营业绩、资产评估、现金流预测及未来运营展望均基于考虑相关优惠政策后的平均实收租金进行分析，且评估假设优惠政策将持续延续。若未来因内外部政策等极端原因导致优惠政策被完全取消，可能会造成项目运营波动。</w:t>
      </w:r>
    </w:p>
    <w:p w14:paraId="66CE1041"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12</w:t>
      </w:r>
      <w:r w:rsidRPr="00D80C4D">
        <w:rPr>
          <w:rFonts w:hAnsi="宋体" w:hint="eastAsia"/>
          <w:sz w:val="20"/>
          <w:szCs w:val="20"/>
        </w:rPr>
        <w:t>、评估风险</w:t>
      </w:r>
    </w:p>
    <w:p w14:paraId="0A52824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投资的基础设施项目采用收益法进行评估，收益法估值对于项目现金流和收入增长的预测，折现率的选择，运营管理的成本等参数需要进行大量的假设。由于预测期限长，部分假设较小幅度的偏差会很大程度上影响基础设施项目的估值，可能导致评估值不能完全反映基础设施项目的公允价值。同时，基础设施项目的评估结果并未考虑因设立本基金而发生的基金管理费、专项计划的计划管理费等费用，而该等费用需要由基金财产承担。由于现金流和收入预测普遍不考虑突发因素或不可抗力带来的收入下降，在未来持续运作过程中，可能会出现长期收益不及预期的风险。</w:t>
      </w:r>
    </w:p>
    <w:p w14:paraId="1A5CB084"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13</w:t>
      </w:r>
      <w:r w:rsidRPr="00D80C4D">
        <w:rPr>
          <w:rFonts w:hAnsi="宋体" w:hint="eastAsia"/>
          <w:sz w:val="20"/>
          <w:szCs w:val="20"/>
        </w:rPr>
        <w:t>、资产维护及资本性支出风险</w:t>
      </w:r>
    </w:p>
    <w:p w14:paraId="70EC7FCF"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投资的基础设施项目为保障性租赁住房，基础设施项目建成时间较短，相关设施设备较新。未来随着使用年限的增长，基础设施项目的相关设施设备可能需要更换、维修，包括但不限于基础设施项目基本结构、外立面、内部装修、家具家电、电梯、水电相关设备等，该等维修或资本性支出具有一定的不确定性，如未来实际开支数超出资产评估时预测的额度，届时发生超出预期的相关维护及资本性支出可能降低本基金的投资收益。</w:t>
      </w:r>
    </w:p>
    <w:p w14:paraId="3BF0097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14</w:t>
      </w:r>
      <w:r w:rsidRPr="00D80C4D">
        <w:rPr>
          <w:rFonts w:hAnsi="宋体" w:hint="eastAsia"/>
          <w:sz w:val="20"/>
          <w:szCs w:val="20"/>
        </w:rPr>
        <w:t>、现金流预测的风险</w:t>
      </w:r>
    </w:p>
    <w:p w14:paraId="02A79EA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对基础设施项目未来现金流进行合理预测，正常情况下影响基础设施项目未来现金流的因素主要为基础设施项目运营收入净额，运营收入净额影响因素包括租赁住房行业发展和运营管理机构运营能力；租赁住房行业为近些年快速发展的行业，但行业规范不完善，行业监管也在摸索过程中，行业发展受国家行业政策、所在地区发展等因素影响。此外，现金流预测基于对租赁住房租金收入等现金收入和运营管理费及维护成本等现金支出的假设，由于影响收入和支出的因素具有一定的不确定性或存在无法达到预期的风险，因此对基础设施项目未来现金流的预测也可能会出现一定程度的偏差，本基金持有人可能面临现金流预测偏差导致的最终获得分配偏差的风险。</w:t>
      </w:r>
    </w:p>
    <w:p w14:paraId="737E3BA4"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15</w:t>
      </w:r>
      <w:r w:rsidRPr="00D80C4D">
        <w:rPr>
          <w:rFonts w:hAnsi="宋体" w:hint="eastAsia"/>
          <w:sz w:val="20"/>
          <w:szCs w:val="20"/>
        </w:rPr>
        <w:t>、期初现金余额影响当期可供分配金额的风险</w:t>
      </w:r>
    </w:p>
    <w:p w14:paraId="4CC2EDA7"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根据《可供分配金额测算报告》的预测假设，润灏公司于评估基准日的期初现金为</w:t>
      </w:r>
      <w:r w:rsidRPr="00D80C4D">
        <w:rPr>
          <w:rFonts w:hAnsi="宋体"/>
          <w:sz w:val="20"/>
          <w:szCs w:val="20"/>
        </w:rPr>
        <w:t>2,206.11</w:t>
      </w:r>
      <w:r w:rsidRPr="00D80C4D">
        <w:rPr>
          <w:rFonts w:hAnsi="宋体" w:hint="eastAsia"/>
          <w:sz w:val="20"/>
          <w:szCs w:val="20"/>
        </w:rPr>
        <w:t>万元，期初现金为收取的押金保证金、预收租金款、预留的应付工程款、预留的应交税税费等相关经营性负债及经营活动现金预留，未来如因实际交割安排、过渡期实际产生的现金流水平等因素影响，导致基金扩募并新购入基础设施项目后实际期初现金金额发生变化，可能会对投资人的收益分配产生影响。</w:t>
      </w:r>
    </w:p>
    <w:p w14:paraId="6D23FFCC"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lastRenderedPageBreak/>
        <w:t>16</w:t>
      </w:r>
      <w:r w:rsidRPr="00D80C4D">
        <w:rPr>
          <w:rFonts w:hAnsi="宋体" w:hint="eastAsia"/>
          <w:sz w:val="20"/>
          <w:szCs w:val="20"/>
        </w:rPr>
        <w:t>、股东借款带来的现金流波动风险</w:t>
      </w:r>
    </w:p>
    <w:p w14:paraId="1919370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本基金在专项计划层面设置了股东借款：专项计划向</w:t>
      </w:r>
      <w:r w:rsidRPr="00D80C4D">
        <w:rPr>
          <w:rFonts w:hAnsi="宋体"/>
          <w:sz w:val="20"/>
          <w:szCs w:val="20"/>
        </w:rPr>
        <w:t>SPV</w:t>
      </w:r>
      <w:r w:rsidRPr="00D80C4D">
        <w:rPr>
          <w:rFonts w:hAnsi="宋体" w:hint="eastAsia"/>
          <w:sz w:val="20"/>
          <w:szCs w:val="20"/>
        </w:rPr>
        <w:t>发放股东借款，</w:t>
      </w:r>
      <w:r w:rsidRPr="00D80C4D">
        <w:rPr>
          <w:rFonts w:hAnsi="宋体"/>
          <w:sz w:val="20"/>
          <w:szCs w:val="20"/>
        </w:rPr>
        <w:t>SPV</w:t>
      </w:r>
      <w:r w:rsidRPr="00D80C4D">
        <w:rPr>
          <w:rFonts w:hAnsi="宋体" w:hint="eastAsia"/>
          <w:sz w:val="20"/>
          <w:szCs w:val="20"/>
        </w:rPr>
        <w:t>收购项目公司后，由项目公司吸收合并</w:t>
      </w:r>
      <w:r w:rsidRPr="00D80C4D">
        <w:rPr>
          <w:rFonts w:hAnsi="宋体"/>
          <w:sz w:val="20"/>
          <w:szCs w:val="20"/>
        </w:rPr>
        <w:t>SPV</w:t>
      </w:r>
      <w:r w:rsidRPr="00D80C4D">
        <w:rPr>
          <w:rFonts w:hAnsi="宋体" w:hint="eastAsia"/>
          <w:sz w:val="20"/>
          <w:szCs w:val="20"/>
        </w:rPr>
        <w:t>并继承此项债务。其中部分股东借款利息可以在税前扣除，有利于优化项目公司资本结构。但该结构存在以下风险：</w:t>
      </w:r>
    </w:p>
    <w:p w14:paraId="77612CE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1</w:t>
      </w:r>
      <w:r w:rsidRPr="00D80C4D">
        <w:rPr>
          <w:rFonts w:hAnsi="宋体" w:hint="eastAsia"/>
          <w:sz w:val="20"/>
          <w:szCs w:val="20"/>
        </w:rPr>
        <w:t>）如未来关于股东借款利息的税前抵扣政策发生变动，或资本市场利率下行使股东借款利息的税前抵扣额低于预期，可能导致项目公司应纳税所得额和所得税应纳税额的提高，使本基金可供分配现金流不达预期，导致现金流波动风险。</w:t>
      </w:r>
    </w:p>
    <w:p w14:paraId="6604BBE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2</w:t>
      </w:r>
      <w:r w:rsidRPr="00D80C4D">
        <w:rPr>
          <w:rFonts w:hAnsi="宋体" w:hint="eastAsia"/>
          <w:sz w:val="20"/>
          <w:szCs w:val="20"/>
        </w:rPr>
        <w:t>）如未来关于民间借贷借款利率上限的政策或法规发生变动，导致项目公司可能不能按照《项目公司借款合同》等协议的约定偿还股东借款本金和利息，使本基金现金流分配不达预期，带来现金流波动风险。</w:t>
      </w:r>
    </w:p>
    <w:p w14:paraId="5EA9CEC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17</w:t>
      </w:r>
      <w:r w:rsidRPr="00D80C4D">
        <w:rPr>
          <w:rFonts w:hAnsi="宋体" w:hint="eastAsia"/>
          <w:sz w:val="20"/>
          <w:szCs w:val="20"/>
        </w:rPr>
        <w:t>、运营管理机构履职风险</w:t>
      </w:r>
    </w:p>
    <w:p w14:paraId="336DBEA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1</w:t>
      </w:r>
      <w:r w:rsidRPr="00D80C4D">
        <w:rPr>
          <w:rFonts w:hAnsi="宋体" w:hint="eastAsia"/>
          <w:sz w:val="20"/>
          <w:szCs w:val="20"/>
        </w:rPr>
        <w:t>）在本基金运作期间，基础设施项目的运营业绩与运营管理机构所持续提供的服务及表现密切相关。如运营管理机构未能尽责履约，或其内部作业、人员管理及系统操作不当或失误，可能给基础设施项目造成损失。</w:t>
      </w:r>
    </w:p>
    <w:p w14:paraId="1437957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2</w:t>
      </w:r>
      <w:r w:rsidRPr="00D80C4D">
        <w:rPr>
          <w:rFonts w:hAnsi="宋体" w:hint="eastAsia"/>
          <w:sz w:val="20"/>
          <w:szCs w:val="20"/>
        </w:rPr>
        <w:t>）在本基金运作期间，存在运营管理机构不续聘或解聘且没有合适续聘机构的可能性。此外，运营管理机构的相关人员可能离职并在离职后管理与本基金投资的基础设施项目存在竞争关系的项目，对基础设施项目的业务、财务状况、经营业绩及前景可能会造成不利影响。</w:t>
      </w:r>
    </w:p>
    <w:p w14:paraId="336CA6D5"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w:t>
      </w:r>
      <w:r w:rsidRPr="00D80C4D">
        <w:rPr>
          <w:rFonts w:hAnsi="宋体"/>
          <w:sz w:val="20"/>
          <w:szCs w:val="20"/>
        </w:rPr>
        <w:t>3</w:t>
      </w:r>
      <w:r w:rsidRPr="00D80C4D">
        <w:rPr>
          <w:rFonts w:hAnsi="宋体" w:hint="eastAsia"/>
          <w:sz w:val="20"/>
          <w:szCs w:val="20"/>
        </w:rPr>
        <w:t>）运营管理机构的内部监控政策及程序可能无法发现，或不能完全有效防止项目公司员工、其他第三方员工的相关违法违规行为。若出现上述情况，可能会对本基金造成不利影响。</w:t>
      </w:r>
    </w:p>
    <w:p w14:paraId="6A48F53F"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18</w:t>
      </w:r>
      <w:r w:rsidRPr="00D80C4D">
        <w:rPr>
          <w:rFonts w:hAnsi="宋体" w:hint="eastAsia"/>
          <w:sz w:val="20"/>
          <w:szCs w:val="20"/>
        </w:rPr>
        <w:t>、市场供需及竞争性项目风险</w:t>
      </w:r>
    </w:p>
    <w:p w14:paraId="0BF550C0"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上海市提出“十四五”期间，计划新增建设筹措保障性租赁住房</w:t>
      </w:r>
      <w:r w:rsidRPr="00D80C4D">
        <w:rPr>
          <w:rFonts w:hAnsi="宋体"/>
          <w:sz w:val="20"/>
          <w:szCs w:val="20"/>
        </w:rPr>
        <w:t>47</w:t>
      </w:r>
      <w:r w:rsidRPr="00D80C4D">
        <w:rPr>
          <w:rFonts w:hAnsi="宋体" w:hint="eastAsia"/>
          <w:sz w:val="20"/>
          <w:szCs w:val="20"/>
        </w:rPr>
        <w:t>万套（间）以上，达到同期新增住房供应总量的</w:t>
      </w:r>
      <w:r w:rsidRPr="00D80C4D">
        <w:rPr>
          <w:rFonts w:hAnsi="宋体"/>
          <w:sz w:val="20"/>
          <w:szCs w:val="20"/>
        </w:rPr>
        <w:t>40%</w:t>
      </w:r>
      <w:r w:rsidRPr="00D80C4D">
        <w:rPr>
          <w:rFonts w:hAnsi="宋体" w:hint="eastAsia"/>
          <w:sz w:val="20"/>
          <w:szCs w:val="20"/>
        </w:rPr>
        <w:t>以上；到“十四五”末，全市将累计建设筹措保障性租赁住房</w:t>
      </w:r>
      <w:r w:rsidRPr="00D80C4D">
        <w:rPr>
          <w:rFonts w:hAnsi="宋体"/>
          <w:sz w:val="20"/>
          <w:szCs w:val="20"/>
        </w:rPr>
        <w:t>60</w:t>
      </w:r>
      <w:r w:rsidRPr="00D80C4D">
        <w:rPr>
          <w:rFonts w:hAnsi="宋体" w:hint="eastAsia"/>
          <w:sz w:val="20"/>
          <w:szCs w:val="20"/>
        </w:rPr>
        <w:t>万套（间）以上，其中</w:t>
      </w:r>
      <w:r w:rsidRPr="00D80C4D">
        <w:rPr>
          <w:rFonts w:hAnsi="宋体"/>
          <w:sz w:val="20"/>
          <w:szCs w:val="20"/>
        </w:rPr>
        <w:t>40</w:t>
      </w:r>
      <w:r w:rsidRPr="00D80C4D">
        <w:rPr>
          <w:rFonts w:hAnsi="宋体" w:hint="eastAsia"/>
          <w:sz w:val="20"/>
          <w:szCs w:val="20"/>
        </w:rPr>
        <w:t>万套（间）左右形成供应。</w:t>
      </w:r>
    </w:p>
    <w:p w14:paraId="5D27879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投资的基础设施项目为保障性租赁住房，随着上海市保障性租赁住房的持续供应，在其一定距离范围内存在新审批或新建设保障性租赁住房或其他类型租赁住房的可能性，新建设或新审批的项目可能与本标的项目产生竞争，对本基金投资的基础设施项目租赁客户带来分流，如果区域内租赁住房的需求量增长慢于供给量增长，可能对基础设施项目出租率、租金价格等产生一定的不利影响，存在一定的市场竞争风险。</w:t>
      </w:r>
    </w:p>
    <w:p w14:paraId="50890A9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19</w:t>
      </w:r>
      <w:r w:rsidRPr="00D80C4D">
        <w:rPr>
          <w:rFonts w:hAnsi="宋体" w:hint="eastAsia"/>
          <w:sz w:val="20"/>
          <w:szCs w:val="20"/>
        </w:rPr>
        <w:t>、关联交易及利益冲突风险</w:t>
      </w:r>
    </w:p>
    <w:p w14:paraId="346803D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本基金初始募集资金投资的基础设施项目的原始权益人和运营管理机构为有巢深圳，有巢深圳是国内率先参与租赁住房改革、行业领先的租住“运营</w:t>
      </w:r>
      <w:r w:rsidRPr="00D80C4D">
        <w:rPr>
          <w:rFonts w:hAnsi="宋体"/>
          <w:sz w:val="20"/>
          <w:szCs w:val="20"/>
        </w:rPr>
        <w:t>+</w:t>
      </w:r>
      <w:r w:rsidRPr="00D80C4D">
        <w:rPr>
          <w:rFonts w:hAnsi="宋体" w:hint="eastAsia"/>
          <w:sz w:val="20"/>
          <w:szCs w:val="20"/>
        </w:rPr>
        <w:t>资管”平台，截至</w:t>
      </w:r>
      <w:r w:rsidRPr="00D80C4D">
        <w:rPr>
          <w:rFonts w:hAnsi="宋体"/>
          <w:sz w:val="20"/>
          <w:szCs w:val="20"/>
        </w:rPr>
        <w:t>2025</w:t>
      </w:r>
      <w:r w:rsidRPr="00D80C4D">
        <w:rPr>
          <w:rFonts w:hAnsi="宋体" w:hint="eastAsia"/>
          <w:sz w:val="20"/>
          <w:szCs w:val="20"/>
        </w:rPr>
        <w:t>年</w:t>
      </w:r>
      <w:r w:rsidRPr="00D80C4D">
        <w:rPr>
          <w:rFonts w:hAnsi="宋体"/>
          <w:sz w:val="20"/>
          <w:szCs w:val="20"/>
        </w:rPr>
        <w:t>6</w:t>
      </w:r>
      <w:r w:rsidRPr="00D80C4D">
        <w:rPr>
          <w:rFonts w:hAnsi="宋体" w:hint="eastAsia"/>
          <w:sz w:val="20"/>
          <w:szCs w:val="20"/>
        </w:rPr>
        <w:t>月末，有巢深圳已入驻国内</w:t>
      </w:r>
      <w:r w:rsidRPr="00D80C4D">
        <w:rPr>
          <w:rFonts w:hAnsi="宋体"/>
          <w:sz w:val="20"/>
          <w:szCs w:val="20"/>
        </w:rPr>
        <w:t>15</w:t>
      </w:r>
      <w:r w:rsidRPr="00D80C4D">
        <w:rPr>
          <w:rFonts w:hAnsi="宋体" w:hint="eastAsia"/>
          <w:sz w:val="20"/>
          <w:szCs w:val="20"/>
        </w:rPr>
        <w:t>座城市，管理房间量</w:t>
      </w:r>
      <w:r w:rsidRPr="00D80C4D">
        <w:rPr>
          <w:rFonts w:hAnsi="宋体"/>
          <w:sz w:val="20"/>
          <w:szCs w:val="20"/>
        </w:rPr>
        <w:t>8.5</w:t>
      </w:r>
      <w:r w:rsidRPr="00D80C4D">
        <w:rPr>
          <w:rFonts w:hAnsi="宋体" w:hint="eastAsia"/>
          <w:sz w:val="20"/>
          <w:szCs w:val="20"/>
        </w:rPr>
        <w:t>万间，公寓管理房间总量位列央企第一。本基金本次拟新购入基础设施项目为有巢深圳持有的有巢马桥项目，一方面，该交易构成本基金的关联交易；另一方面，有巢深圳在上海持有并管理多个同类型资产项目，本基金持有的基础设施项目可能与有巢深圳管理的其他项目处于相同或相近的区位、面向相似的客群；此外，基础设施项目还可能从有巢深圳或华润置地有限公司等关联方采购相关服务，从而发生关联交易。因此，本基金与原始权益人或运营管理机构存在一定的利益冲突风险和关联交易风险。</w:t>
      </w:r>
    </w:p>
    <w:p w14:paraId="1567554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20</w:t>
      </w:r>
      <w:r w:rsidRPr="00D80C4D">
        <w:rPr>
          <w:rFonts w:hAnsi="宋体" w:hint="eastAsia"/>
          <w:sz w:val="20"/>
          <w:szCs w:val="20"/>
        </w:rPr>
        <w:t>、土地使用权期限风险</w:t>
      </w:r>
    </w:p>
    <w:p w14:paraId="383F2AEF"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基础设施项目土地使用权有终止日期，截至</w:t>
      </w:r>
      <w:r w:rsidRPr="00D80C4D">
        <w:rPr>
          <w:rFonts w:hAnsi="宋体"/>
          <w:sz w:val="20"/>
          <w:szCs w:val="20"/>
        </w:rPr>
        <w:t>2025</w:t>
      </w:r>
      <w:r w:rsidRPr="00D80C4D">
        <w:rPr>
          <w:rFonts w:hAnsi="宋体" w:hint="eastAsia"/>
          <w:sz w:val="20"/>
          <w:szCs w:val="20"/>
        </w:rPr>
        <w:t>年</w:t>
      </w:r>
      <w:r w:rsidRPr="00D80C4D">
        <w:rPr>
          <w:rFonts w:hAnsi="宋体"/>
          <w:sz w:val="20"/>
          <w:szCs w:val="20"/>
        </w:rPr>
        <w:t>6</w:t>
      </w:r>
      <w:r w:rsidRPr="00D80C4D">
        <w:rPr>
          <w:rFonts w:hAnsi="宋体" w:hint="eastAsia"/>
          <w:sz w:val="20"/>
          <w:szCs w:val="20"/>
        </w:rPr>
        <w:t>月</w:t>
      </w:r>
      <w:r w:rsidRPr="00D80C4D">
        <w:rPr>
          <w:rFonts w:hAnsi="宋体"/>
          <w:sz w:val="20"/>
          <w:szCs w:val="20"/>
        </w:rPr>
        <w:t>30</w:t>
      </w:r>
      <w:r w:rsidRPr="00D80C4D">
        <w:rPr>
          <w:rFonts w:hAnsi="宋体" w:hint="eastAsia"/>
          <w:sz w:val="20"/>
          <w:szCs w:val="20"/>
        </w:rPr>
        <w:t>日，土地使用权最长剩余期限约</w:t>
      </w:r>
      <w:r w:rsidRPr="00D80C4D">
        <w:rPr>
          <w:rFonts w:hAnsi="宋体"/>
          <w:sz w:val="20"/>
          <w:szCs w:val="20"/>
        </w:rPr>
        <w:t>64.55</w:t>
      </w:r>
      <w:r w:rsidRPr="00D80C4D">
        <w:rPr>
          <w:rFonts w:hAnsi="宋体" w:hint="eastAsia"/>
          <w:sz w:val="20"/>
          <w:szCs w:val="20"/>
        </w:rPr>
        <w:t>年，短于本基金期限。届时，除非土地使用者申请延长土地使用权的期限且获得政府部门的同意（申请者或需要支付相应的对价），否则在该等期限届满时，该等物业的土地使用权将交回政府。土地使用权到期后的相关可行操作应当依据届时有效的法律法规及规章来执行。</w:t>
      </w:r>
    </w:p>
    <w:p w14:paraId="6A5ED7C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此外，政府机构有权根据有关法律法规的规定来征用土地。如在土地使用权期限届满前被强制征用，本基金将会获得一定的补偿，相关金额按照政府机构根据有关法律法规所定基准评估而定。而该等价格可能会低于本基金对基础设施项目的购入成本。</w:t>
      </w:r>
    </w:p>
    <w:p w14:paraId="53880B83"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21</w:t>
      </w:r>
      <w:r w:rsidRPr="00D80C4D">
        <w:rPr>
          <w:rFonts w:hAnsi="宋体" w:hint="eastAsia"/>
          <w:sz w:val="20"/>
          <w:szCs w:val="20"/>
        </w:rPr>
        <w:t>、未来市场需求下降导致出租率或租金水平下降的风险</w:t>
      </w:r>
    </w:p>
    <w:p w14:paraId="252E78D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本基金已持有及拟购入的基础设施项目为保障性租赁住房，经营水平依赖市场租赁需求。区域内人口变化、产业变</w:t>
      </w:r>
      <w:r w:rsidRPr="00D80C4D">
        <w:rPr>
          <w:rFonts w:hAnsi="宋体" w:hint="eastAsia"/>
          <w:sz w:val="20"/>
          <w:szCs w:val="20"/>
        </w:rPr>
        <w:lastRenderedPageBreak/>
        <w:t>化及就业情况均会引起市场租赁需求变动。若未来市场租赁需求下降，可能引起基础设施项目的出租率或租金水平下降，导致经营情况不及预期的风险。</w:t>
      </w:r>
    </w:p>
    <w:p w14:paraId="02DF425A"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22</w:t>
      </w:r>
      <w:r w:rsidRPr="00D80C4D">
        <w:rPr>
          <w:rFonts w:hAnsi="宋体" w:hint="eastAsia"/>
          <w:sz w:val="20"/>
          <w:szCs w:val="20"/>
        </w:rPr>
        <w:t>、基础设施项目被紧急征用的风险</w:t>
      </w:r>
    </w:p>
    <w:p w14:paraId="4A013389"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本基金持有的基础设施项目可能被选为“平急两用”项目，即在紧急情况下，基础设施项目可能会被政府临时征用用于公共服务或其他紧急用途。此类征用可能会对基础设施项目的正常运营造成干扰，导致本基金的收益水平下降。</w:t>
      </w:r>
    </w:p>
    <w:p w14:paraId="2B22FB7F"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23</w:t>
      </w:r>
      <w:r w:rsidRPr="00D80C4D">
        <w:rPr>
          <w:rFonts w:hAnsi="宋体" w:hint="eastAsia"/>
          <w:sz w:val="20"/>
          <w:szCs w:val="20"/>
        </w:rPr>
        <w:t>、意外事件、安全生产事故及不可抗力给基础设施项目造成的风险</w:t>
      </w:r>
    </w:p>
    <w:p w14:paraId="7816F0C1"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项目公司可通过运营管理机构为基础设施项目提供维修及保养服务，维修及保养服务涉及电梯、风机等重型机械的操作，操作过程中可能会发生意外事件；租赁住房运营过程中，项目公司可能面临基础设施项目的损害或破坏、人身伤害或死亡以及承担相应法律责任的风险。此外，如发生地震、台风、水灾、火灾、战争、瘟疫、政策、法律变更及其他不可抗力事件，基础设施项目经营情况可能受到影响，进而对本基金的收益分配造成不利影响。</w:t>
      </w:r>
    </w:p>
    <w:p w14:paraId="231F101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24</w:t>
      </w:r>
      <w:r w:rsidRPr="00D80C4D">
        <w:rPr>
          <w:rFonts w:hAnsi="宋体" w:hint="eastAsia"/>
          <w:sz w:val="20"/>
          <w:szCs w:val="20"/>
        </w:rPr>
        <w:t>、租赁合同未及时备案受到行政处罚的风险</w:t>
      </w:r>
    </w:p>
    <w:p w14:paraId="79B9962D"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础设施项目租赁合同中存在未及时办理完成房屋租赁登记备案的情况，存在被房屋租赁主管部门责令限期补办登记手续、处以罚款的风险。原始权益人、外部管理机构将积极督促项目公司根据房屋租赁主管部门要求办理房屋租赁登记备案事宜，但仍可能因租约未备案受到处罚而影响运营情况，进而影响到基金投资人利益。</w:t>
      </w:r>
    </w:p>
    <w:p w14:paraId="5FC3294B"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针对租赁备案登记手续办理相关事宜，各方已在《项目公司股权转让协议》和《运营管理服务协议》项下设置风险缓释措施如下：</w:t>
      </w:r>
    </w:p>
    <w:p w14:paraId="5D140048"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《项目公司股权转让协议》约定，如因原始权益人未按照相关规定完成所需的备案，导致项目公司或</w:t>
      </w:r>
      <w:r w:rsidRPr="00D80C4D">
        <w:rPr>
          <w:rFonts w:hAnsi="宋体"/>
          <w:sz w:val="20"/>
          <w:szCs w:val="20"/>
        </w:rPr>
        <w:t>SPV</w:t>
      </w:r>
      <w:r w:rsidRPr="00D80C4D">
        <w:rPr>
          <w:rFonts w:hAnsi="宋体" w:hint="eastAsia"/>
          <w:sz w:val="20"/>
          <w:szCs w:val="20"/>
        </w:rPr>
        <w:t>受到任何损失的，原始权益人承诺赔偿项目公司及</w:t>
      </w:r>
      <w:r w:rsidRPr="00D80C4D">
        <w:rPr>
          <w:rFonts w:hAnsi="宋体"/>
          <w:sz w:val="20"/>
          <w:szCs w:val="20"/>
        </w:rPr>
        <w:t>SPV</w:t>
      </w:r>
      <w:r w:rsidRPr="00D80C4D">
        <w:rPr>
          <w:rFonts w:hAnsi="宋体" w:hint="eastAsia"/>
          <w:sz w:val="20"/>
          <w:szCs w:val="20"/>
        </w:rPr>
        <w:t>所遭受的全部损失。《运营管理服务协议》约定，基金存续期内，由外部管理机构负责租赁合同的管理，包括但不限于租赁备案工作；如外部管理机构未履行、怠于履行或未完全履行运营管理职责或协助职责，给项目公司、基础设施基金造成损失的，外部管理机构承担相应的违约责任。</w:t>
      </w:r>
    </w:p>
    <w:p w14:paraId="635BA26C" w14:textId="77777777" w:rsidR="00D80C4D" w:rsidRPr="00D80C4D" w:rsidRDefault="00D80C4D" w:rsidP="00D80C4D">
      <w:pPr>
        <w:pStyle w:val="a3"/>
        <w:kinsoku w:val="0"/>
        <w:overflowPunct w:val="0"/>
        <w:spacing w:before="242" w:line="228" w:lineRule="auto"/>
        <w:ind w:left="0"/>
        <w:rPr>
          <w:rFonts w:hAnsi="宋体"/>
          <w:b/>
          <w:bCs/>
          <w:sz w:val="20"/>
          <w:szCs w:val="20"/>
        </w:rPr>
      </w:pPr>
      <w:r w:rsidRPr="00D80C4D">
        <w:rPr>
          <w:rFonts w:hAnsi="宋体" w:hint="eastAsia"/>
          <w:b/>
          <w:bCs/>
          <w:sz w:val="20"/>
          <w:szCs w:val="20"/>
        </w:rPr>
        <w:t>（三）声明</w:t>
      </w:r>
    </w:p>
    <w:p w14:paraId="4D72E206"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1</w:t>
      </w:r>
      <w:r w:rsidRPr="00D80C4D">
        <w:rPr>
          <w:rFonts w:hAnsi="宋体" w:hint="eastAsia"/>
          <w:sz w:val="20"/>
          <w:szCs w:val="20"/>
        </w:rPr>
        <w:t>、本基金未经任何一级政府、机构及部门担保。投资者自愿投资于本基金，须自行承担投资风险。</w:t>
      </w:r>
    </w:p>
    <w:p w14:paraId="4B55E362" w14:textId="77777777" w:rsidR="00D80C4D" w:rsidRPr="00D80C4D" w:rsidRDefault="00D80C4D" w:rsidP="00D80C4D">
      <w:pPr>
        <w:pStyle w:val="a3"/>
        <w:kinsoku w:val="0"/>
        <w:overflowPunct w:val="0"/>
        <w:spacing w:before="242" w:line="228" w:lineRule="auto"/>
        <w:ind w:left="0"/>
        <w:rPr>
          <w:rFonts w:hAnsi="宋体"/>
          <w:sz w:val="20"/>
          <w:szCs w:val="20"/>
        </w:rPr>
      </w:pPr>
      <w:r w:rsidRPr="00D80C4D">
        <w:rPr>
          <w:rFonts w:hAnsi="宋体"/>
          <w:sz w:val="20"/>
          <w:szCs w:val="20"/>
        </w:rPr>
        <w:t>2</w:t>
      </w:r>
      <w:r w:rsidRPr="00D80C4D">
        <w:rPr>
          <w:rFonts w:hAnsi="宋体" w:hint="eastAsia"/>
          <w:sz w:val="20"/>
          <w:szCs w:val="20"/>
        </w:rPr>
        <w:t>、除基金管理人直接办理本基金的销售外，本基金还通过代销机构销售，但是，本基金并不是代销机构的存款或负债，也没有经代销机构担保或者背书，代销机构并不能保证其收益或本金安全。</w:t>
      </w:r>
    </w:p>
    <w:p w14:paraId="39011353" w14:textId="77777777" w:rsidR="00E52C1E" w:rsidRDefault="00D80C4D" w:rsidP="00D80C4D">
      <w:pPr>
        <w:pStyle w:val="a3"/>
        <w:kinsoku w:val="0"/>
        <w:overflowPunct w:val="0"/>
        <w:spacing w:before="242" w:line="228" w:lineRule="auto"/>
        <w:ind w:left="0"/>
        <w:rPr>
          <w:rFonts w:hAnsi="宋体"/>
          <w:sz w:val="20"/>
          <w:szCs w:val="20"/>
        </w:rPr>
      </w:pPr>
      <w:r w:rsidRPr="00D80C4D">
        <w:rPr>
          <w:rFonts w:hAnsi="宋体" w:hint="eastAsia"/>
          <w:sz w:val="20"/>
          <w:szCs w:val="20"/>
        </w:rPr>
        <w:t>基金管理人承诺以诚实信用、勤勉尽责的原则管理和运用基金资产，但不保证本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w:t>
      </w:r>
    </w:p>
    <w:p w14:paraId="794F2021" w14:textId="77777777" w:rsidR="00754DC4" w:rsidRDefault="00754DC4" w:rsidP="00754DC4">
      <w:pPr>
        <w:pStyle w:val="a3"/>
        <w:kinsoku w:val="0"/>
        <w:overflowPunct w:val="0"/>
        <w:spacing w:before="242" w:line="230" w:lineRule="auto"/>
        <w:ind w:left="0"/>
        <w:rPr>
          <w:rFonts w:hAnsi="宋体"/>
          <w:sz w:val="20"/>
          <w:szCs w:val="20"/>
        </w:rPr>
      </w:pPr>
    </w:p>
    <w:p w14:paraId="6B908F0B" w14:textId="77777777" w:rsidR="00754DC4" w:rsidRPr="00AC1B6B" w:rsidRDefault="00754DC4" w:rsidP="00754DC4">
      <w:pPr>
        <w:pStyle w:val="a3"/>
        <w:kinsoku w:val="0"/>
        <w:overflowPunct w:val="0"/>
        <w:spacing w:before="242" w:line="230" w:lineRule="auto"/>
        <w:ind w:left="0"/>
        <w:rPr>
          <w:rFonts w:hAnsi="宋体"/>
          <w:b/>
          <w:sz w:val="20"/>
          <w:szCs w:val="20"/>
        </w:rPr>
      </w:pPr>
      <w:r w:rsidRPr="00AC1B6B">
        <w:rPr>
          <w:rFonts w:hAnsi="宋体" w:hint="eastAsia"/>
          <w:b/>
          <w:sz w:val="20"/>
          <w:szCs w:val="20"/>
        </w:rPr>
        <w:t>本人已阅读并充分理解风险告知函及产品法律文件的相关内容。</w:t>
      </w:r>
      <w:r w:rsidR="00527EC8">
        <w:rPr>
          <w:rFonts w:hAnsi="宋体" w:hint="eastAsia"/>
          <w:b/>
          <w:sz w:val="20"/>
          <w:szCs w:val="20"/>
        </w:rPr>
        <w:t>签名</w:t>
      </w:r>
      <w:r w:rsidRPr="00AC1B6B">
        <w:rPr>
          <w:rFonts w:hAnsi="宋体" w:hint="eastAsia"/>
          <w:b/>
          <w:sz w:val="20"/>
          <w:szCs w:val="20"/>
        </w:rPr>
        <w:t>以示承诺及申请意愿。</w:t>
      </w:r>
    </w:p>
    <w:p w14:paraId="23CC78FB" w14:textId="77777777" w:rsidR="00754DC4" w:rsidRDefault="00754DC4" w:rsidP="00754DC4">
      <w:pPr>
        <w:pStyle w:val="a3"/>
        <w:kinsoku w:val="0"/>
        <w:overflowPunct w:val="0"/>
        <w:spacing w:before="242" w:line="230" w:lineRule="auto"/>
        <w:ind w:left="0"/>
        <w:rPr>
          <w:rFonts w:hAnsi="宋体"/>
          <w:sz w:val="20"/>
          <w:szCs w:val="20"/>
        </w:rPr>
      </w:pPr>
    </w:p>
    <w:p w14:paraId="764A02E2" w14:textId="77777777" w:rsidR="00754DC4" w:rsidRDefault="00527EC8" w:rsidP="00754DC4">
      <w:pPr>
        <w:pStyle w:val="a3"/>
        <w:kinsoku w:val="0"/>
        <w:overflowPunct w:val="0"/>
        <w:spacing w:before="242" w:line="230" w:lineRule="auto"/>
        <w:ind w:left="0"/>
        <w:rPr>
          <w:rFonts w:hAnsi="宋体"/>
          <w:sz w:val="20"/>
          <w:szCs w:val="20"/>
        </w:rPr>
      </w:pPr>
      <w:r>
        <w:rPr>
          <w:rFonts w:hAnsi="宋体" w:hint="eastAsia"/>
          <w:sz w:val="20"/>
          <w:szCs w:val="20"/>
        </w:rPr>
        <w:t>认购申请人</w:t>
      </w:r>
      <w:r w:rsidR="00754DC4">
        <w:rPr>
          <w:rFonts w:hAnsi="宋体" w:hint="eastAsia"/>
          <w:sz w:val="20"/>
          <w:szCs w:val="20"/>
        </w:rPr>
        <w:t>：</w:t>
      </w:r>
    </w:p>
    <w:p w14:paraId="105D7FCE" w14:textId="77777777" w:rsidR="00754DC4" w:rsidRDefault="00754DC4" w:rsidP="00754DC4">
      <w:pPr>
        <w:pStyle w:val="a3"/>
        <w:kinsoku w:val="0"/>
        <w:overflowPunct w:val="0"/>
        <w:spacing w:before="242" w:line="230" w:lineRule="auto"/>
        <w:ind w:left="0"/>
        <w:jc w:val="right"/>
        <w:rPr>
          <w:rFonts w:hAnsi="宋体"/>
          <w:sz w:val="20"/>
          <w:szCs w:val="20"/>
        </w:rPr>
      </w:pPr>
      <w:r>
        <w:rPr>
          <w:rFonts w:hAnsi="宋体" w:hint="eastAsia"/>
          <w:sz w:val="20"/>
          <w:szCs w:val="20"/>
        </w:rPr>
        <w:t>日期：</w:t>
      </w:r>
      <w:r>
        <w:rPr>
          <w:rFonts w:hAnsi="宋体"/>
          <w:sz w:val="20"/>
          <w:szCs w:val="20"/>
        </w:rPr>
        <w:t xml:space="preserve">    </w:t>
      </w:r>
      <w:r>
        <w:rPr>
          <w:rFonts w:hAnsi="宋体" w:hint="eastAsia"/>
          <w:sz w:val="20"/>
          <w:szCs w:val="20"/>
        </w:rPr>
        <w:t>年</w:t>
      </w:r>
      <w:r>
        <w:rPr>
          <w:rFonts w:hAnsi="宋体"/>
          <w:sz w:val="20"/>
          <w:szCs w:val="20"/>
        </w:rPr>
        <w:t xml:space="preserve">  </w:t>
      </w:r>
      <w:r>
        <w:rPr>
          <w:rFonts w:hAnsi="宋体" w:hint="eastAsia"/>
          <w:sz w:val="20"/>
          <w:szCs w:val="20"/>
        </w:rPr>
        <w:t>月</w:t>
      </w:r>
      <w:r>
        <w:rPr>
          <w:rFonts w:hAnsi="宋体"/>
          <w:sz w:val="20"/>
          <w:szCs w:val="20"/>
        </w:rPr>
        <w:t xml:space="preserve">  </w:t>
      </w:r>
      <w:r>
        <w:rPr>
          <w:rFonts w:hAnsi="宋体" w:hint="eastAsia"/>
          <w:sz w:val="20"/>
          <w:szCs w:val="20"/>
        </w:rPr>
        <w:t>日</w:t>
      </w:r>
    </w:p>
    <w:sectPr w:rsidR="00754DC4" w:rsidSect="004358DA">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42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15BD" w14:textId="77777777" w:rsidR="004978EC" w:rsidRDefault="004978EC" w:rsidP="0092320C">
      <w:r>
        <w:separator/>
      </w:r>
    </w:p>
  </w:endnote>
  <w:endnote w:type="continuationSeparator" w:id="0">
    <w:p w14:paraId="2374BF87" w14:textId="77777777" w:rsidR="004978EC" w:rsidRDefault="004978EC" w:rsidP="0092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D5B3" w14:textId="77777777" w:rsidR="007D2B53" w:rsidRDefault="007D2B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1852" w14:textId="77777777" w:rsidR="001C0659" w:rsidRDefault="001C0659">
    <w:pPr>
      <w:pStyle w:val="a8"/>
      <w:jc w:val="center"/>
    </w:pPr>
    <w:r>
      <w:fldChar w:fldCharType="begin"/>
    </w:r>
    <w:r>
      <w:instrText>PAGE   \* MERGEFORMAT</w:instrText>
    </w:r>
    <w:r>
      <w:fldChar w:fldCharType="separate"/>
    </w:r>
    <w:r w:rsidR="00E52C1E" w:rsidRPr="00E52C1E">
      <w:rPr>
        <w:noProof/>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F82E" w14:textId="77777777" w:rsidR="007D2B53" w:rsidRDefault="007D2B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6F7C" w14:textId="77777777" w:rsidR="004978EC" w:rsidRDefault="004978EC" w:rsidP="0092320C">
      <w:r>
        <w:separator/>
      </w:r>
    </w:p>
  </w:footnote>
  <w:footnote w:type="continuationSeparator" w:id="0">
    <w:p w14:paraId="50AD77CB" w14:textId="77777777" w:rsidR="004978EC" w:rsidRDefault="004978EC" w:rsidP="0092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938C" w14:textId="77777777" w:rsidR="007D2B53" w:rsidRDefault="007D2B5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75AB" w14:textId="5C61E55F" w:rsidR="001C0659" w:rsidRDefault="007D2B53">
    <w:pPr>
      <w:pStyle w:val="a6"/>
    </w:pPr>
    <w:r>
      <w:rPr>
        <w:rFonts w:ascii="Times New Roman" w:eastAsia="等线" w:cs="Times New Roman"/>
        <w:noProof/>
        <w:sz w:val="20"/>
        <w:szCs w:val="20"/>
      </w:rPr>
      <w:pict w14:anchorId="149F4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25pt;height:30pt;rotation:315;z-index:251659264;mso-position-horizontal:center;mso-position-horizontal-relative:margin;mso-position-vertical:center;mso-position-vertical-relative:margin" fillcolor="#7e7676" stroked="f">
          <v:fill opacity="11796f"/>
          <v:stroke r:id="rId1" o:title=""/>
          <v:shadow color="#868686"/>
          <v:textpath style="font-family:&quot;宋体&quot;;font-size:30pt;v-text-kern:t" trim="t" fitpath="t" string="华夏基金管理有限公司&amp;2025-11-28&amp;liz"/>
          <o:lock v:ext="edit" aspectratio="t"/>
          <w10:wrap side="largest" anchorx="margin" anchory="margin"/>
        </v:shape>
      </w:pict>
    </w:r>
    <w:r w:rsidR="00076290" w:rsidRPr="001C0659">
      <w:rPr>
        <w:rFonts w:ascii="Times New Roman" w:eastAsia="等线" w:cs="Times New Roman"/>
        <w:noProof/>
        <w:sz w:val="20"/>
        <w:szCs w:val="20"/>
      </w:rPr>
      <w:drawing>
        <wp:inline distT="0" distB="0" distL="0" distR="0" wp14:anchorId="70E0357C" wp14:editId="5F214A4E">
          <wp:extent cx="5314950" cy="3905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14950" cy="390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951" w14:textId="77777777" w:rsidR="007D2B53" w:rsidRDefault="007D2B5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EF"/>
    <w:rsid w:val="000313AE"/>
    <w:rsid w:val="00076290"/>
    <w:rsid w:val="000836DB"/>
    <w:rsid w:val="00095579"/>
    <w:rsid w:val="000C0889"/>
    <w:rsid w:val="000C26E6"/>
    <w:rsid w:val="000E2320"/>
    <w:rsid w:val="000F6027"/>
    <w:rsid w:val="001307FC"/>
    <w:rsid w:val="0014161E"/>
    <w:rsid w:val="00152201"/>
    <w:rsid w:val="00172144"/>
    <w:rsid w:val="00181F9A"/>
    <w:rsid w:val="001C0659"/>
    <w:rsid w:val="00247D6A"/>
    <w:rsid w:val="002714E0"/>
    <w:rsid w:val="00297023"/>
    <w:rsid w:val="002B4AA7"/>
    <w:rsid w:val="002B6A33"/>
    <w:rsid w:val="002B7952"/>
    <w:rsid w:val="002F1828"/>
    <w:rsid w:val="002F3D66"/>
    <w:rsid w:val="00310F94"/>
    <w:rsid w:val="00312CD5"/>
    <w:rsid w:val="00334CE7"/>
    <w:rsid w:val="003611FB"/>
    <w:rsid w:val="00370A84"/>
    <w:rsid w:val="00394F79"/>
    <w:rsid w:val="00395571"/>
    <w:rsid w:val="003A0AC4"/>
    <w:rsid w:val="003B6148"/>
    <w:rsid w:val="003C1717"/>
    <w:rsid w:val="003D6830"/>
    <w:rsid w:val="004232C7"/>
    <w:rsid w:val="004358DA"/>
    <w:rsid w:val="00436167"/>
    <w:rsid w:val="00461325"/>
    <w:rsid w:val="0049751A"/>
    <w:rsid w:val="004978EC"/>
    <w:rsid w:val="004A28A6"/>
    <w:rsid w:val="004A6008"/>
    <w:rsid w:val="004C5F37"/>
    <w:rsid w:val="004D68E6"/>
    <w:rsid w:val="004E70CC"/>
    <w:rsid w:val="004E78B1"/>
    <w:rsid w:val="004F0B1B"/>
    <w:rsid w:val="004F2728"/>
    <w:rsid w:val="00527EC8"/>
    <w:rsid w:val="005560ED"/>
    <w:rsid w:val="00572F6F"/>
    <w:rsid w:val="00577E31"/>
    <w:rsid w:val="00580FF4"/>
    <w:rsid w:val="005865E8"/>
    <w:rsid w:val="00592631"/>
    <w:rsid w:val="00600BBE"/>
    <w:rsid w:val="00615D1D"/>
    <w:rsid w:val="00630400"/>
    <w:rsid w:val="006545F5"/>
    <w:rsid w:val="0066172F"/>
    <w:rsid w:val="0067634D"/>
    <w:rsid w:val="00682E24"/>
    <w:rsid w:val="006E3DFD"/>
    <w:rsid w:val="00701C69"/>
    <w:rsid w:val="00717233"/>
    <w:rsid w:val="00717A51"/>
    <w:rsid w:val="00723470"/>
    <w:rsid w:val="00740DDC"/>
    <w:rsid w:val="00752DBC"/>
    <w:rsid w:val="00754DC4"/>
    <w:rsid w:val="007A052C"/>
    <w:rsid w:val="007B2AC3"/>
    <w:rsid w:val="007C2FFC"/>
    <w:rsid w:val="007D2B53"/>
    <w:rsid w:val="00815930"/>
    <w:rsid w:val="00815C23"/>
    <w:rsid w:val="008217D6"/>
    <w:rsid w:val="00824F0F"/>
    <w:rsid w:val="00872093"/>
    <w:rsid w:val="00897FB9"/>
    <w:rsid w:val="008B6E34"/>
    <w:rsid w:val="008D1E16"/>
    <w:rsid w:val="0092320C"/>
    <w:rsid w:val="009266A2"/>
    <w:rsid w:val="00954FF0"/>
    <w:rsid w:val="00955AAF"/>
    <w:rsid w:val="00961CC5"/>
    <w:rsid w:val="00963341"/>
    <w:rsid w:val="00983BFE"/>
    <w:rsid w:val="00985D47"/>
    <w:rsid w:val="0099720D"/>
    <w:rsid w:val="009A1D52"/>
    <w:rsid w:val="009C27DF"/>
    <w:rsid w:val="00A250AD"/>
    <w:rsid w:val="00A329ED"/>
    <w:rsid w:val="00A378B2"/>
    <w:rsid w:val="00A640F4"/>
    <w:rsid w:val="00A907DE"/>
    <w:rsid w:val="00AA1108"/>
    <w:rsid w:val="00AB67DB"/>
    <w:rsid w:val="00AC1B6B"/>
    <w:rsid w:val="00AD20F6"/>
    <w:rsid w:val="00AD2AEB"/>
    <w:rsid w:val="00AE50CF"/>
    <w:rsid w:val="00AF4DF2"/>
    <w:rsid w:val="00B5313D"/>
    <w:rsid w:val="00B77CA1"/>
    <w:rsid w:val="00BA556E"/>
    <w:rsid w:val="00BC1947"/>
    <w:rsid w:val="00BD1CD9"/>
    <w:rsid w:val="00C55E34"/>
    <w:rsid w:val="00C600BE"/>
    <w:rsid w:val="00C77452"/>
    <w:rsid w:val="00CF2214"/>
    <w:rsid w:val="00D01D58"/>
    <w:rsid w:val="00D140D9"/>
    <w:rsid w:val="00D30292"/>
    <w:rsid w:val="00D61F90"/>
    <w:rsid w:val="00D62849"/>
    <w:rsid w:val="00D63613"/>
    <w:rsid w:val="00D80C4D"/>
    <w:rsid w:val="00D8277D"/>
    <w:rsid w:val="00D872E5"/>
    <w:rsid w:val="00DD5963"/>
    <w:rsid w:val="00E2282E"/>
    <w:rsid w:val="00E330C1"/>
    <w:rsid w:val="00E52C1E"/>
    <w:rsid w:val="00E53922"/>
    <w:rsid w:val="00E5454A"/>
    <w:rsid w:val="00E653CC"/>
    <w:rsid w:val="00ED6ED0"/>
    <w:rsid w:val="00F13484"/>
    <w:rsid w:val="00F23EAD"/>
    <w:rsid w:val="00F310AC"/>
    <w:rsid w:val="00F350B1"/>
    <w:rsid w:val="00F378AA"/>
    <w:rsid w:val="00F4108F"/>
    <w:rsid w:val="00F5428E"/>
    <w:rsid w:val="00F553EF"/>
    <w:rsid w:val="00F737F6"/>
    <w:rsid w:val="00F81874"/>
    <w:rsid w:val="00F822A3"/>
    <w:rsid w:val="00F8772F"/>
    <w:rsid w:val="00F909FE"/>
    <w:rsid w:val="00F94736"/>
    <w:rsid w:val="00FA0798"/>
    <w:rsid w:val="00FC2B33"/>
    <w:rsid w:val="00FE0803"/>
    <w:rsid w:val="00FE10DB"/>
    <w:rsid w:val="00FE524E"/>
    <w:rsid w:val="00FF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17E6C1"/>
  <w14:defaultImageDpi w14:val="0"/>
  <w15:docId w15:val="{D6979610-EFBB-4452-BF8A-9224E78E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宋体" w:eastAsia="宋体" w:hAnsi="Times New Roman" w:cs="宋体"/>
      <w:sz w:val="22"/>
      <w:szCs w:val="22"/>
    </w:rPr>
  </w:style>
  <w:style w:type="paragraph" w:styleId="1">
    <w:name w:val="heading 1"/>
    <w:basedOn w:val="a"/>
    <w:next w:val="a"/>
    <w:link w:val="10"/>
    <w:uiPriority w:val="1"/>
    <w:qFormat/>
    <w:pPr>
      <w:spacing w:before="21"/>
      <w:ind w:left="312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ascii="宋体" w:eastAsia="宋体" w:hAnsi="Times New Roman" w:cs="Times New Roman"/>
      <w:b/>
      <w:kern w:val="44"/>
      <w:sz w:val="44"/>
    </w:rPr>
  </w:style>
  <w:style w:type="paragraph" w:styleId="a3">
    <w:name w:val="Body Text"/>
    <w:basedOn w:val="a"/>
    <w:link w:val="a4"/>
    <w:uiPriority w:val="1"/>
    <w:qFormat/>
    <w:pPr>
      <w:ind w:left="803" w:right="157" w:firstLine="223"/>
      <w:jc w:val="both"/>
    </w:pPr>
  </w:style>
  <w:style w:type="character" w:customStyle="1" w:styleId="a4">
    <w:name w:val="正文文本 字符"/>
    <w:basedOn w:val="a0"/>
    <w:link w:val="a3"/>
    <w:uiPriority w:val="1"/>
    <w:semiHidden/>
    <w:locked/>
    <w:rPr>
      <w:rFonts w:ascii="宋体" w:eastAsia="宋体" w:hAnsi="Times New Roman" w:cs="Times New Roman"/>
      <w:kern w:val="0"/>
      <w:sz w:val="22"/>
    </w:rPr>
  </w:style>
  <w:style w:type="paragraph" w:styleId="a5">
    <w:name w:val="List Paragraph"/>
    <w:basedOn w:val="a"/>
    <w:uiPriority w:val="1"/>
    <w:qFormat/>
    <w:rPr>
      <w:rFonts w:ascii="Times New Roman" w:eastAsia="等线" w:cs="Times New Roman"/>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92320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locked/>
    <w:rsid w:val="0092320C"/>
    <w:rPr>
      <w:rFonts w:ascii="宋体" w:eastAsia="宋体" w:hAnsi="Times New Roman" w:cs="Times New Roman"/>
      <w:kern w:val="0"/>
      <w:sz w:val="18"/>
    </w:rPr>
  </w:style>
  <w:style w:type="paragraph" w:styleId="a8">
    <w:name w:val="footer"/>
    <w:basedOn w:val="a"/>
    <w:link w:val="a9"/>
    <w:uiPriority w:val="99"/>
    <w:unhideWhenUsed/>
    <w:rsid w:val="0092320C"/>
    <w:pPr>
      <w:tabs>
        <w:tab w:val="center" w:pos="4153"/>
        <w:tab w:val="right" w:pos="8306"/>
      </w:tabs>
      <w:snapToGrid w:val="0"/>
    </w:pPr>
    <w:rPr>
      <w:sz w:val="18"/>
      <w:szCs w:val="18"/>
    </w:rPr>
  </w:style>
  <w:style w:type="character" w:customStyle="1" w:styleId="a9">
    <w:name w:val="页脚 字符"/>
    <w:basedOn w:val="a0"/>
    <w:link w:val="a8"/>
    <w:uiPriority w:val="99"/>
    <w:locked/>
    <w:rsid w:val="0092320C"/>
    <w:rPr>
      <w:rFonts w:ascii="宋体" w:eastAsia="宋体" w:hAnsi="Times New Roman" w:cs="Times New Roman"/>
      <w:kern w:val="0"/>
      <w:sz w:val="18"/>
    </w:rPr>
  </w:style>
  <w:style w:type="character" w:styleId="aa">
    <w:name w:val="annotation reference"/>
    <w:basedOn w:val="a0"/>
    <w:uiPriority w:val="99"/>
    <w:semiHidden/>
    <w:unhideWhenUsed/>
    <w:rsid w:val="0092320C"/>
    <w:rPr>
      <w:rFonts w:cs="Times New Roman"/>
      <w:sz w:val="21"/>
    </w:rPr>
  </w:style>
  <w:style w:type="paragraph" w:styleId="ab">
    <w:name w:val="annotation text"/>
    <w:basedOn w:val="a"/>
    <w:link w:val="ac"/>
    <w:uiPriority w:val="99"/>
    <w:semiHidden/>
    <w:unhideWhenUsed/>
    <w:rsid w:val="0092320C"/>
  </w:style>
  <w:style w:type="character" w:customStyle="1" w:styleId="ac">
    <w:name w:val="批注文字 字符"/>
    <w:basedOn w:val="a0"/>
    <w:link w:val="ab"/>
    <w:uiPriority w:val="99"/>
    <w:semiHidden/>
    <w:locked/>
    <w:rsid w:val="0092320C"/>
    <w:rPr>
      <w:rFonts w:ascii="宋体" w:eastAsia="宋体" w:hAnsi="Times New Roman" w:cs="Times New Roman"/>
      <w:kern w:val="0"/>
      <w:sz w:val="22"/>
    </w:rPr>
  </w:style>
  <w:style w:type="paragraph" w:styleId="ad">
    <w:name w:val="annotation subject"/>
    <w:basedOn w:val="ab"/>
    <w:next w:val="ab"/>
    <w:link w:val="ae"/>
    <w:uiPriority w:val="99"/>
    <w:semiHidden/>
    <w:unhideWhenUsed/>
    <w:rsid w:val="0092320C"/>
    <w:rPr>
      <w:b/>
      <w:bCs/>
    </w:rPr>
  </w:style>
  <w:style w:type="character" w:customStyle="1" w:styleId="ae">
    <w:name w:val="批注主题 字符"/>
    <w:basedOn w:val="ac"/>
    <w:link w:val="ad"/>
    <w:uiPriority w:val="99"/>
    <w:semiHidden/>
    <w:locked/>
    <w:rsid w:val="0092320C"/>
    <w:rPr>
      <w:rFonts w:ascii="宋体" w:eastAsia="宋体" w:hAnsi="Times New Roman" w:cs="Times New Roman"/>
      <w:b/>
      <w:kern w:val="0"/>
      <w:sz w:val="22"/>
    </w:rPr>
  </w:style>
  <w:style w:type="paragraph" w:styleId="af">
    <w:name w:val="Balloon Text"/>
    <w:basedOn w:val="a"/>
    <w:link w:val="af0"/>
    <w:uiPriority w:val="99"/>
    <w:semiHidden/>
    <w:unhideWhenUsed/>
    <w:rsid w:val="0092320C"/>
    <w:rPr>
      <w:sz w:val="18"/>
      <w:szCs w:val="18"/>
    </w:rPr>
  </w:style>
  <w:style w:type="character" w:customStyle="1" w:styleId="af0">
    <w:name w:val="批注框文本 字符"/>
    <w:basedOn w:val="a0"/>
    <w:link w:val="af"/>
    <w:uiPriority w:val="99"/>
    <w:semiHidden/>
    <w:locked/>
    <w:rsid w:val="0092320C"/>
    <w:rPr>
      <w:rFonts w:ascii="宋体" w:eastAsia="宋体" w:hAnsi="Times New Roman" w:cs="Times New Roman"/>
      <w:kern w:val="0"/>
      <w:sz w:val="18"/>
    </w:rPr>
  </w:style>
  <w:style w:type="character" w:styleId="af1">
    <w:name w:val="Hyperlink"/>
    <w:basedOn w:val="a0"/>
    <w:uiPriority w:val="99"/>
    <w:unhideWhenUsed/>
    <w:rsid w:val="004E78B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048">
      <w:marLeft w:val="0"/>
      <w:marRight w:val="0"/>
      <w:marTop w:val="0"/>
      <w:marBottom w:val="0"/>
      <w:divBdr>
        <w:top w:val="none" w:sz="0" w:space="0" w:color="auto"/>
        <w:left w:val="none" w:sz="0" w:space="0" w:color="auto"/>
        <w:bottom w:val="none" w:sz="0" w:space="0" w:color="auto"/>
        <w:right w:val="none" w:sz="0" w:space="0" w:color="auto"/>
      </w:divBdr>
    </w:div>
    <w:div w:id="572087049">
      <w:marLeft w:val="0"/>
      <w:marRight w:val="0"/>
      <w:marTop w:val="0"/>
      <w:marBottom w:val="0"/>
      <w:divBdr>
        <w:top w:val="none" w:sz="0" w:space="0" w:color="auto"/>
        <w:left w:val="none" w:sz="0" w:space="0" w:color="auto"/>
        <w:bottom w:val="none" w:sz="0" w:space="0" w:color="auto"/>
        <w:right w:val="none" w:sz="0" w:space="0" w:color="auto"/>
      </w:divBdr>
    </w:div>
    <w:div w:id="572087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90C3-2C02-4EA0-B10B-A2548219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14076</Words>
  <Characters>14354</Characters>
  <Application>Microsoft Office Word</Application>
  <DocSecurity>0</DocSecurity>
  <Lines>543</Lines>
  <Paragraphs>224</Paragraphs>
  <ScaleCrop>false</ScaleCrop>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开户申请表（产品）</dc:title>
  <dc:subject/>
  <dc:creator>it</dc:creator>
  <cp:keywords/>
  <dc:description/>
  <cp:lastModifiedBy>user</cp:lastModifiedBy>
  <cp:revision>5</cp:revision>
  <dcterms:created xsi:type="dcterms:W3CDTF">2025-11-28T01:49:00Z</dcterms:created>
  <dcterms:modified xsi:type="dcterms:W3CDTF">2025-11-28T02:11:00Z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ies>
</file>