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70" w:rsidRDefault="001739F2" w:rsidP="00217015">
      <w:pPr>
        <w:spacing w:afterLines="100" w:after="312"/>
        <w:jc w:val="center"/>
        <w:rPr>
          <w:rFonts w:ascii="仿宋_GB2312" w:eastAsia="仿宋_GB2312" w:hAnsi="仿宋_GB2312" w:cs="仿宋_GB2312"/>
          <w:sz w:val="32"/>
          <w:szCs w:val="32"/>
        </w:rPr>
      </w:pPr>
      <w:bookmarkStart w:id="0" w:name="_GoBack"/>
      <w:r>
        <w:rPr>
          <w:rFonts w:ascii="宋体" w:hAnsi="宋体" w:cs="宋体" w:hint="eastAsia"/>
          <w:sz w:val="44"/>
          <w:szCs w:val="44"/>
        </w:rPr>
        <w:t>华夏基金</w:t>
      </w:r>
      <w:r w:rsidR="00676245">
        <w:rPr>
          <w:rFonts w:ascii="宋体" w:hAnsi="宋体" w:cs="宋体" w:hint="eastAsia"/>
          <w:sz w:val="44"/>
          <w:szCs w:val="44"/>
        </w:rPr>
        <w:t>华智</w:t>
      </w:r>
      <w:r w:rsidR="003E6110">
        <w:rPr>
          <w:rFonts w:ascii="宋体" w:hAnsi="宋体" w:cs="宋体"/>
          <w:sz w:val="44"/>
          <w:szCs w:val="44"/>
        </w:rPr>
        <w:t>2</w:t>
      </w:r>
      <w:r w:rsidR="00676245">
        <w:rPr>
          <w:rFonts w:ascii="宋体" w:hAnsi="宋体" w:cs="宋体" w:hint="eastAsia"/>
          <w:sz w:val="44"/>
          <w:szCs w:val="44"/>
        </w:rPr>
        <w:t>号</w:t>
      </w:r>
      <w:r w:rsidR="00676245">
        <w:rPr>
          <w:rFonts w:ascii="宋体" w:hAnsi="宋体" w:cs="宋体"/>
          <w:sz w:val="44"/>
          <w:szCs w:val="44"/>
        </w:rPr>
        <w:t>股票型</w:t>
      </w:r>
      <w:r w:rsidR="00DD7770">
        <w:rPr>
          <w:rFonts w:ascii="宋体" w:hAnsi="宋体" w:cs="宋体" w:hint="eastAsia"/>
          <w:sz w:val="44"/>
          <w:szCs w:val="44"/>
        </w:rPr>
        <w:t>养老金产品变更内容对照表</w:t>
      </w:r>
      <w:r w:rsidR="00557C65">
        <w:rPr>
          <w:rFonts w:ascii="仿宋_GB2312" w:eastAsia="仿宋_GB2312" w:hAnsi="仿宋_GB2312" w:cs="仿宋_GB2312" w:hint="eastAsia"/>
          <w:sz w:val="32"/>
          <w:szCs w:val="32"/>
        </w:rPr>
        <w:t xml:space="preserve">   </w:t>
      </w:r>
      <w:r w:rsidR="00DD7770">
        <w:rPr>
          <w:rFonts w:ascii="仿宋_GB2312" w:eastAsia="仿宋_GB2312" w:hAnsi="仿宋_GB2312" w:cs="仿宋_GB2312" w:hint="eastAsia"/>
          <w:sz w:val="32"/>
          <w:szCs w:val="32"/>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260"/>
        <w:gridCol w:w="4111"/>
      </w:tblGrid>
      <w:tr w:rsidR="00DD7770" w:rsidRPr="003B1A3F" w:rsidTr="00557C65">
        <w:trPr>
          <w:trHeight w:val="601"/>
          <w:jc w:val="center"/>
        </w:trPr>
        <w:tc>
          <w:tcPr>
            <w:tcW w:w="8642" w:type="dxa"/>
            <w:gridSpan w:val="3"/>
            <w:tcBorders>
              <w:bottom w:val="single" w:sz="4" w:space="0" w:color="000000"/>
            </w:tcBorders>
            <w:vAlign w:val="center"/>
          </w:tcPr>
          <w:p w:rsidR="00DD7770" w:rsidRPr="003B1A3F" w:rsidRDefault="00DD7770" w:rsidP="000747A6">
            <w:pPr>
              <w:jc w:val="left"/>
              <w:rPr>
                <w:rFonts w:ascii="仿宋_GB2312" w:eastAsia="仿宋_GB2312" w:hAnsi="宋体"/>
                <w:b/>
                <w:sz w:val="24"/>
                <w:szCs w:val="24"/>
              </w:rPr>
            </w:pPr>
            <w:r w:rsidRPr="003B1A3F">
              <w:rPr>
                <w:rFonts w:ascii="仿宋_GB2312" w:eastAsia="仿宋_GB2312" w:hint="eastAsia"/>
                <w:b/>
                <w:sz w:val="24"/>
                <w:szCs w:val="24"/>
              </w:rPr>
              <w:t>投资管理合同变更内容</w:t>
            </w:r>
          </w:p>
        </w:tc>
      </w:tr>
      <w:tr w:rsidR="00DD7770" w:rsidRPr="003B1A3F" w:rsidTr="00557C65">
        <w:trPr>
          <w:trHeight w:val="601"/>
          <w:jc w:val="center"/>
        </w:trPr>
        <w:tc>
          <w:tcPr>
            <w:tcW w:w="1271" w:type="dxa"/>
            <w:tcBorders>
              <w:bottom w:val="single" w:sz="4" w:space="0" w:color="000000"/>
            </w:tcBorders>
            <w:vAlign w:val="center"/>
          </w:tcPr>
          <w:p w:rsidR="00DD7770" w:rsidRPr="003B1A3F" w:rsidRDefault="00DD7770" w:rsidP="000747A6">
            <w:pPr>
              <w:jc w:val="center"/>
              <w:rPr>
                <w:rFonts w:ascii="仿宋_GB2312" w:eastAsia="仿宋_GB2312" w:hAnsi="宋体"/>
                <w:sz w:val="24"/>
                <w:szCs w:val="24"/>
              </w:rPr>
            </w:pPr>
            <w:r w:rsidRPr="003B1A3F">
              <w:rPr>
                <w:rFonts w:ascii="仿宋_GB2312" w:eastAsia="仿宋_GB2312" w:hAnsi="宋体" w:hint="eastAsia"/>
                <w:sz w:val="24"/>
                <w:szCs w:val="24"/>
              </w:rPr>
              <w:t>章节</w:t>
            </w:r>
          </w:p>
        </w:tc>
        <w:tc>
          <w:tcPr>
            <w:tcW w:w="3260" w:type="dxa"/>
            <w:tcBorders>
              <w:bottom w:val="single" w:sz="4" w:space="0" w:color="000000"/>
            </w:tcBorders>
            <w:vAlign w:val="center"/>
          </w:tcPr>
          <w:p w:rsidR="00DD7770" w:rsidRPr="003B1A3F" w:rsidRDefault="00DD7770" w:rsidP="000747A6">
            <w:pPr>
              <w:jc w:val="center"/>
              <w:rPr>
                <w:rFonts w:ascii="仿宋_GB2312" w:eastAsia="仿宋_GB2312" w:hAnsi="宋体"/>
                <w:sz w:val="24"/>
                <w:szCs w:val="24"/>
              </w:rPr>
            </w:pPr>
            <w:r w:rsidRPr="003B1A3F">
              <w:rPr>
                <w:rFonts w:ascii="仿宋_GB2312" w:eastAsia="仿宋_GB2312" w:hAnsi="宋体" w:hint="eastAsia"/>
                <w:sz w:val="24"/>
                <w:szCs w:val="24"/>
              </w:rPr>
              <w:t>原投资管理合同内容</w:t>
            </w:r>
          </w:p>
        </w:tc>
        <w:tc>
          <w:tcPr>
            <w:tcW w:w="4111" w:type="dxa"/>
            <w:tcBorders>
              <w:bottom w:val="single" w:sz="4" w:space="0" w:color="000000"/>
            </w:tcBorders>
            <w:vAlign w:val="center"/>
          </w:tcPr>
          <w:p w:rsidR="00DD7770" w:rsidRPr="003B1A3F" w:rsidRDefault="00DD7770" w:rsidP="000747A6">
            <w:pPr>
              <w:jc w:val="center"/>
              <w:rPr>
                <w:rFonts w:ascii="仿宋_GB2312" w:eastAsia="仿宋_GB2312" w:hAnsi="宋体"/>
                <w:sz w:val="24"/>
                <w:szCs w:val="24"/>
              </w:rPr>
            </w:pPr>
            <w:r w:rsidRPr="003B1A3F">
              <w:rPr>
                <w:rFonts w:ascii="仿宋_GB2312" w:eastAsia="仿宋_GB2312" w:hAnsi="宋体" w:hint="eastAsia"/>
                <w:sz w:val="24"/>
                <w:szCs w:val="24"/>
              </w:rPr>
              <w:t>变更后对应内容</w:t>
            </w:r>
          </w:p>
        </w:tc>
      </w:tr>
      <w:tr w:rsidR="00C6083C" w:rsidRPr="003B1A3F" w:rsidTr="00557C65">
        <w:trPr>
          <w:trHeight w:val="601"/>
          <w:jc w:val="center"/>
        </w:trPr>
        <w:tc>
          <w:tcPr>
            <w:tcW w:w="1271" w:type="dxa"/>
            <w:tcBorders>
              <w:bottom w:val="single" w:sz="4" w:space="0" w:color="000000"/>
            </w:tcBorders>
            <w:vAlign w:val="center"/>
          </w:tcPr>
          <w:p w:rsidR="00C6083C" w:rsidRPr="003B1A3F" w:rsidRDefault="0018343A" w:rsidP="000747A6">
            <w:pPr>
              <w:jc w:val="center"/>
              <w:rPr>
                <w:rFonts w:ascii="仿宋_GB2312" w:eastAsia="仿宋_GB2312" w:hAnsi="宋体"/>
                <w:sz w:val="24"/>
                <w:szCs w:val="24"/>
              </w:rPr>
            </w:pPr>
            <w:r w:rsidRPr="003B1A3F">
              <w:rPr>
                <w:rFonts w:ascii="仿宋_GB2312" w:eastAsia="仿宋_GB2312" w:hAnsi="宋体" w:hint="eastAsia"/>
                <w:sz w:val="24"/>
                <w:szCs w:val="24"/>
              </w:rPr>
              <w:t>前言</w:t>
            </w:r>
          </w:p>
        </w:tc>
        <w:tc>
          <w:tcPr>
            <w:tcW w:w="3260" w:type="dxa"/>
            <w:tcBorders>
              <w:bottom w:val="single" w:sz="4" w:space="0" w:color="000000"/>
            </w:tcBorders>
            <w:vAlign w:val="center"/>
          </w:tcPr>
          <w:p w:rsidR="00C6083C" w:rsidRPr="003B1A3F" w:rsidRDefault="00551725" w:rsidP="00961BDE">
            <w:pPr>
              <w:rPr>
                <w:rFonts w:ascii="仿宋_GB2312" w:eastAsia="仿宋_GB2312" w:hAnsi="宋体"/>
                <w:sz w:val="24"/>
                <w:szCs w:val="24"/>
              </w:rPr>
            </w:pPr>
            <w:r w:rsidRPr="003B1A3F">
              <w:rPr>
                <w:rFonts w:ascii="仿宋_GB2312" w:eastAsia="仿宋_GB2312" w:hAnsi="宋体"/>
                <w:sz w:val="24"/>
                <w:szCs w:val="24"/>
              </w:rPr>
              <w:t>《企业年金试行办法》（劳动和社会保障部令第20号）</w:t>
            </w:r>
          </w:p>
        </w:tc>
        <w:tc>
          <w:tcPr>
            <w:tcW w:w="4111" w:type="dxa"/>
            <w:tcBorders>
              <w:bottom w:val="single" w:sz="4" w:space="0" w:color="000000"/>
            </w:tcBorders>
            <w:vAlign w:val="center"/>
          </w:tcPr>
          <w:p w:rsidR="00C6083C" w:rsidRPr="003B1A3F" w:rsidRDefault="00551725" w:rsidP="00961BDE">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《企业年金办法》（人力资源和社会保障部、财政部令第36号）</w:t>
            </w:r>
          </w:p>
        </w:tc>
      </w:tr>
      <w:tr w:rsidR="003E5DD5" w:rsidRPr="003B1A3F" w:rsidTr="00557C65">
        <w:trPr>
          <w:trHeight w:val="601"/>
          <w:jc w:val="center"/>
        </w:trPr>
        <w:tc>
          <w:tcPr>
            <w:tcW w:w="1271" w:type="dxa"/>
            <w:tcBorders>
              <w:bottom w:val="single" w:sz="4" w:space="0" w:color="000000"/>
            </w:tcBorders>
            <w:vAlign w:val="center"/>
          </w:tcPr>
          <w:p w:rsidR="003E5DD5" w:rsidRPr="003E5DD5" w:rsidRDefault="003E5DD5" w:rsidP="003E5DD5">
            <w:pPr>
              <w:jc w:val="center"/>
              <w:rPr>
                <w:rFonts w:ascii="仿宋_GB2312" w:eastAsia="仿宋_GB2312" w:hAnsi="宋体"/>
                <w:sz w:val="24"/>
                <w:szCs w:val="24"/>
              </w:rPr>
            </w:pPr>
            <w:r>
              <w:rPr>
                <w:rFonts w:ascii="仿宋_GB2312" w:eastAsia="仿宋_GB2312" w:hAnsi="宋体"/>
                <w:sz w:val="24"/>
                <w:szCs w:val="24"/>
              </w:rPr>
              <w:t>4.</w:t>
            </w:r>
            <w:r>
              <w:rPr>
                <w:rFonts w:ascii="仿宋_GB2312" w:eastAsia="仿宋_GB2312" w:hAnsi="宋体" w:hint="eastAsia"/>
                <w:sz w:val="24"/>
                <w:szCs w:val="24"/>
              </w:rPr>
              <w:t>3</w:t>
            </w:r>
          </w:p>
        </w:tc>
        <w:tc>
          <w:tcPr>
            <w:tcW w:w="3260" w:type="dxa"/>
            <w:tcBorders>
              <w:bottom w:val="single" w:sz="4" w:space="0" w:color="000000"/>
            </w:tcBorders>
            <w:vAlign w:val="center"/>
          </w:tcPr>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w:t>
            </w:r>
            <w:r w:rsidRPr="00DB1A2E">
              <w:rPr>
                <w:rFonts w:ascii="仿宋_GB2312" w:eastAsia="仿宋_GB2312" w:hAnsi="宋体"/>
                <w:sz w:val="24"/>
                <w:szCs w:val="24"/>
              </w:rPr>
              <w:t>7114</w:t>
            </w:r>
          </w:p>
          <w:p w:rsidR="003E5DD5" w:rsidRPr="003B1A3F" w:rsidRDefault="003E5DD5" w:rsidP="003E5DD5">
            <w:pPr>
              <w:rPr>
                <w:rFonts w:ascii="仿宋_GB2312" w:eastAsia="仿宋_GB2312" w:hAnsi="宋体"/>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王洪章</w:t>
            </w:r>
          </w:p>
        </w:tc>
        <w:tc>
          <w:tcPr>
            <w:tcW w:w="4111" w:type="dxa"/>
            <w:tcBorders>
              <w:bottom w:val="single" w:sz="4" w:space="0" w:color="000000"/>
            </w:tcBorders>
            <w:vAlign w:val="center"/>
          </w:tcPr>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010-67595067</w:t>
            </w:r>
          </w:p>
          <w:p w:rsidR="003E5DD5" w:rsidRPr="003B1A3F" w:rsidRDefault="003E5DD5" w:rsidP="003E5DD5">
            <w:pPr>
              <w:rPr>
                <w:rFonts w:ascii="仿宋_GB2312" w:eastAsia="仿宋_GB2312"/>
                <w:sz w:val="24"/>
                <w:szCs w:val="24"/>
                <w:shd w:val="clear" w:color="auto" w:fill="FFFFFF"/>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田国立</w:t>
            </w:r>
          </w:p>
        </w:tc>
      </w:tr>
      <w:tr w:rsidR="00C6083C" w:rsidRPr="003B1A3F" w:rsidTr="00557C65">
        <w:trPr>
          <w:trHeight w:val="601"/>
          <w:jc w:val="center"/>
        </w:trPr>
        <w:tc>
          <w:tcPr>
            <w:tcW w:w="1271" w:type="dxa"/>
            <w:tcBorders>
              <w:bottom w:val="single" w:sz="4" w:space="0" w:color="000000"/>
            </w:tcBorders>
            <w:vAlign w:val="center"/>
          </w:tcPr>
          <w:p w:rsidR="00C6083C" w:rsidRPr="003B1A3F" w:rsidRDefault="0018343A" w:rsidP="00551725">
            <w:pPr>
              <w:jc w:val="center"/>
              <w:rPr>
                <w:rFonts w:ascii="仿宋_GB2312" w:eastAsia="仿宋_GB2312" w:hAnsi="宋体"/>
                <w:sz w:val="24"/>
                <w:szCs w:val="24"/>
              </w:rPr>
            </w:pPr>
            <w:r w:rsidRPr="003B1A3F">
              <w:rPr>
                <w:rFonts w:ascii="仿宋_GB2312" w:eastAsia="仿宋_GB2312" w:hAnsi="宋体"/>
                <w:sz w:val="24"/>
                <w:szCs w:val="24"/>
              </w:rPr>
              <w:t>5.4</w:t>
            </w:r>
          </w:p>
        </w:tc>
        <w:tc>
          <w:tcPr>
            <w:tcW w:w="3260" w:type="dxa"/>
            <w:tcBorders>
              <w:bottom w:val="single" w:sz="4" w:space="0" w:color="000000"/>
            </w:tcBorders>
            <w:vAlign w:val="center"/>
          </w:tcPr>
          <w:p w:rsidR="004B212F" w:rsidRPr="003B1A3F" w:rsidRDefault="004B212F" w:rsidP="0018343A">
            <w:pPr>
              <w:rPr>
                <w:rFonts w:ascii="仿宋_GB2312" w:eastAsia="仿宋_GB2312" w:hAnsi="宋体"/>
                <w:sz w:val="24"/>
                <w:szCs w:val="24"/>
              </w:rPr>
            </w:pPr>
            <w:r w:rsidRPr="003B1A3F">
              <w:rPr>
                <w:rFonts w:ascii="仿宋_GB2312" w:eastAsia="仿宋_GB2312" w:hAnsi="宋体" w:hint="eastAsia"/>
                <w:sz w:val="24"/>
                <w:szCs w:val="24"/>
              </w:rPr>
              <w:t>产品</w:t>
            </w:r>
            <w:r w:rsidRPr="003B1A3F">
              <w:rPr>
                <w:rFonts w:ascii="仿宋_GB2312" w:eastAsia="仿宋_GB2312" w:hAnsi="宋体"/>
                <w:sz w:val="24"/>
                <w:szCs w:val="24"/>
              </w:rPr>
              <w:t>的投资目标</w:t>
            </w:r>
          </w:p>
          <w:p w:rsidR="00C6083C" w:rsidRPr="003B1A3F" w:rsidRDefault="0018343A" w:rsidP="0018343A">
            <w:pPr>
              <w:rPr>
                <w:rFonts w:ascii="仿宋_GB2312" w:eastAsia="仿宋_GB2312" w:hAnsi="宋体"/>
                <w:sz w:val="24"/>
                <w:szCs w:val="24"/>
              </w:rPr>
            </w:pPr>
            <w:r w:rsidRPr="003B1A3F">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Borders>
              <w:bottom w:val="single" w:sz="4" w:space="0" w:color="000000"/>
            </w:tcBorders>
            <w:vAlign w:val="center"/>
          </w:tcPr>
          <w:p w:rsidR="004B212F" w:rsidRPr="003B1A3F" w:rsidRDefault="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产品的投资目标</w:t>
            </w:r>
          </w:p>
          <w:p w:rsidR="00C6083C" w:rsidRPr="003B1A3F" w:rsidRDefault="0018343A">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通过灵活运用多种投资策略，充分挖掘和利用市场中潜在的投资机会，谋求本产品资产的长期、持续增值。</w:t>
            </w:r>
          </w:p>
        </w:tc>
      </w:tr>
      <w:tr w:rsidR="00CF7D0E" w:rsidRPr="003B1A3F" w:rsidTr="00557C65">
        <w:trPr>
          <w:trHeight w:val="601"/>
          <w:jc w:val="center"/>
        </w:trPr>
        <w:tc>
          <w:tcPr>
            <w:tcW w:w="1271" w:type="dxa"/>
            <w:tcBorders>
              <w:bottom w:val="single" w:sz="4" w:space="0" w:color="000000"/>
            </w:tcBorders>
            <w:vAlign w:val="center"/>
          </w:tcPr>
          <w:p w:rsidR="00CF7D0E" w:rsidRPr="003B1A3F" w:rsidRDefault="00E00926" w:rsidP="000747A6">
            <w:pPr>
              <w:jc w:val="center"/>
              <w:rPr>
                <w:rFonts w:ascii="仿宋_GB2312" w:eastAsia="仿宋_GB2312" w:hAnsi="宋体"/>
                <w:sz w:val="24"/>
                <w:szCs w:val="24"/>
              </w:rPr>
            </w:pPr>
            <w:r w:rsidRPr="003B1A3F">
              <w:rPr>
                <w:rFonts w:ascii="仿宋_GB2312" w:eastAsia="仿宋_GB2312" w:hAnsi="宋体"/>
                <w:sz w:val="24"/>
                <w:szCs w:val="24"/>
              </w:rPr>
              <w:t>5.5</w:t>
            </w:r>
          </w:p>
          <w:p w:rsidR="00E00926" w:rsidRPr="003B1A3F" w:rsidRDefault="00E00926" w:rsidP="000747A6">
            <w:pPr>
              <w:jc w:val="center"/>
              <w:rPr>
                <w:rFonts w:ascii="仿宋_GB2312" w:eastAsia="仿宋_GB2312" w:hAnsi="宋体"/>
                <w:sz w:val="24"/>
                <w:szCs w:val="24"/>
              </w:rPr>
            </w:pPr>
          </w:p>
        </w:tc>
        <w:tc>
          <w:tcPr>
            <w:tcW w:w="3260" w:type="dxa"/>
            <w:tcBorders>
              <w:bottom w:val="single" w:sz="4" w:space="0" w:color="000000"/>
            </w:tcBorders>
            <w:vAlign w:val="center"/>
          </w:tcPr>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投资策略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sz w:val="24"/>
                <w:szCs w:val="24"/>
              </w:rPr>
              <w:t xml:space="preserve">5.5.1 </w:t>
            </w:r>
            <w:r w:rsidRPr="003B1A3F">
              <w:rPr>
                <w:rFonts w:ascii="仿宋_GB2312" w:eastAsia="仿宋_GB2312" w:hAnsi="宋体" w:hint="eastAsia"/>
                <w:sz w:val="24"/>
                <w:szCs w:val="24"/>
              </w:rPr>
              <w:t>资产配置策略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4B212F" w:rsidRPr="003B1A3F" w:rsidRDefault="004B212F" w:rsidP="004B212F">
            <w:pPr>
              <w:rPr>
                <w:rFonts w:ascii="仿宋_GB2312" w:eastAsia="仿宋_GB2312" w:hAnsi="宋体"/>
                <w:sz w:val="24"/>
                <w:szCs w:val="24"/>
              </w:rPr>
            </w:pPr>
            <w:r w:rsidRPr="003B1A3F">
              <w:rPr>
                <w:rFonts w:ascii="仿宋_GB2312" w:eastAsia="仿宋_GB2312" w:hAnsi="宋体"/>
                <w:sz w:val="24"/>
                <w:szCs w:val="24"/>
              </w:rPr>
              <w:t>5.5.2股票投资策略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通过对不同行业深入的基本面研究，根据行业发展现状、公司盈利能力、成长能力等因素构建行业优选股票池。在研究成果基础上进行排查，剔除部分风险过高的股票，进一步精化股票池。</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在股票池中进行多因子选股，每月调仓，并根据不同因子类别和效果赋予不同的权重，组合因子优化整体选股效果。股票因子池每半年重新测试一次，使因子适用于不同的市场</w:t>
            </w:r>
            <w:r w:rsidRPr="003B1A3F">
              <w:rPr>
                <w:rFonts w:ascii="仿宋_GB2312" w:eastAsia="仿宋_GB2312" w:hAnsi="宋体" w:hint="eastAsia"/>
                <w:sz w:val="24"/>
                <w:szCs w:val="24"/>
              </w:rPr>
              <w:lastRenderedPageBreak/>
              <w:t>环境，同时确保股票组合的整体风险处于可控范围内。</w:t>
            </w:r>
          </w:p>
          <w:p w:rsidR="004B212F" w:rsidRPr="003B1A3F" w:rsidRDefault="004B212F" w:rsidP="004B212F">
            <w:pPr>
              <w:rPr>
                <w:rFonts w:ascii="仿宋_GB2312" w:eastAsia="仿宋_GB2312" w:hAnsi="宋体"/>
                <w:sz w:val="24"/>
                <w:szCs w:val="24"/>
              </w:rPr>
            </w:pPr>
            <w:r w:rsidRPr="003B1A3F">
              <w:rPr>
                <w:rFonts w:ascii="仿宋_GB2312" w:eastAsia="仿宋_GB2312" w:hAnsi="宋体"/>
                <w:sz w:val="24"/>
                <w:szCs w:val="24"/>
              </w:rPr>
              <w:t xml:space="preserve">5.5.3 </w:t>
            </w:r>
            <w:r w:rsidRPr="003B1A3F">
              <w:rPr>
                <w:rFonts w:ascii="仿宋_GB2312" w:eastAsia="仿宋_GB2312" w:hAnsi="宋体" w:hint="eastAsia"/>
                <w:sz w:val="24"/>
                <w:szCs w:val="24"/>
              </w:rPr>
              <w:t>股指期货投资策略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4B212F" w:rsidRPr="003B1A3F" w:rsidRDefault="004B212F" w:rsidP="004B212F">
            <w:pPr>
              <w:rPr>
                <w:rFonts w:ascii="仿宋_GB2312" w:eastAsia="仿宋_GB2312" w:hAnsi="宋体"/>
                <w:sz w:val="24"/>
                <w:szCs w:val="24"/>
              </w:rPr>
            </w:pPr>
            <w:r w:rsidRPr="003B1A3F">
              <w:rPr>
                <w:rFonts w:ascii="仿宋_GB2312" w:eastAsia="仿宋_GB2312" w:hAnsi="宋体"/>
                <w:sz w:val="24"/>
                <w:szCs w:val="24"/>
              </w:rPr>
              <w:t xml:space="preserve">5.5.4  </w:t>
            </w:r>
            <w:r w:rsidRPr="003B1A3F">
              <w:rPr>
                <w:rFonts w:ascii="仿宋_GB2312" w:eastAsia="仿宋_GB2312" w:hAnsi="宋体" w:hint="eastAsia"/>
                <w:sz w:val="24"/>
                <w:szCs w:val="24"/>
              </w:rPr>
              <w:t>其他投资策略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4B212F" w:rsidRPr="003B1A3F" w:rsidRDefault="004B212F" w:rsidP="004B212F">
            <w:pPr>
              <w:rPr>
                <w:rFonts w:ascii="仿宋_GB2312" w:eastAsia="仿宋_GB2312" w:hAnsi="宋体"/>
                <w:sz w:val="24"/>
                <w:szCs w:val="24"/>
              </w:rPr>
            </w:pPr>
            <w:r w:rsidRPr="003B1A3F">
              <w:rPr>
                <w:rFonts w:ascii="仿宋_GB2312" w:eastAsia="仿宋_GB2312" w:hAnsi="宋体"/>
                <w:sz w:val="24"/>
                <w:szCs w:val="24"/>
              </w:rPr>
              <w:t xml:space="preserve">5.5.5 </w:t>
            </w:r>
            <w:r w:rsidRPr="003B1A3F">
              <w:rPr>
                <w:rFonts w:ascii="仿宋_GB2312" w:eastAsia="仿宋_GB2312" w:hAnsi="宋体" w:hint="eastAsia"/>
                <w:sz w:val="24"/>
                <w:szCs w:val="24"/>
              </w:rPr>
              <w:t>建仓期策略</w:t>
            </w:r>
          </w:p>
          <w:p w:rsidR="004B212F"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本产品将根据市场波动性及其走向趋势，采用时间平均法调整建仓节奏，控制建仓成本，同时在组合获利达到既定目标时及时兑现，以实现稳健</w:t>
            </w:r>
            <w:r w:rsidRPr="003B1A3F">
              <w:rPr>
                <w:rFonts w:ascii="仿宋_GB2312" w:eastAsia="仿宋_GB2312" w:hAnsi="宋体" w:hint="eastAsia"/>
                <w:sz w:val="24"/>
                <w:szCs w:val="24"/>
              </w:rPr>
              <w:lastRenderedPageBreak/>
              <w:t>收益目标。</w:t>
            </w:r>
          </w:p>
          <w:p w:rsidR="00CF7D0E" w:rsidRPr="003B1A3F" w:rsidRDefault="004B212F" w:rsidP="004B212F">
            <w:pPr>
              <w:rPr>
                <w:rFonts w:ascii="仿宋_GB2312" w:eastAsia="仿宋_GB2312" w:hAnsi="宋体"/>
                <w:sz w:val="24"/>
                <w:szCs w:val="24"/>
              </w:rPr>
            </w:pPr>
            <w:r w:rsidRPr="003B1A3F">
              <w:rPr>
                <w:rFonts w:ascii="仿宋_GB2312" w:eastAsia="仿宋_GB2312" w:hAnsi="宋体" w:hint="eastAsia"/>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c>
          <w:tcPr>
            <w:tcW w:w="4111" w:type="dxa"/>
            <w:tcBorders>
              <w:bottom w:val="single" w:sz="4" w:space="0" w:color="000000"/>
            </w:tcBorders>
            <w:vAlign w:val="center"/>
          </w:tcPr>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lastRenderedPageBreak/>
              <w:t>投资策略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5.5.1 </w:t>
            </w:r>
            <w:r w:rsidRPr="003B1A3F">
              <w:rPr>
                <w:rFonts w:ascii="仿宋_GB2312" w:eastAsia="仿宋_GB2312" w:hint="eastAsia"/>
                <w:sz w:val="24"/>
                <w:szCs w:val="24"/>
                <w:shd w:val="clear" w:color="auto" w:fill="FFFFFF"/>
              </w:rPr>
              <w:t>资产配置策略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5.5.2 </w:t>
            </w:r>
            <w:r w:rsidRPr="003B1A3F">
              <w:rPr>
                <w:rFonts w:ascii="仿宋_GB2312" w:eastAsia="仿宋_GB2312" w:hint="eastAsia"/>
                <w:sz w:val="24"/>
                <w:szCs w:val="24"/>
                <w:shd w:val="clear" w:color="auto" w:fill="FFFFFF"/>
              </w:rPr>
              <w:t>股票投资策略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5.5.2.1  </w:t>
            </w:r>
            <w:r w:rsidRPr="003B1A3F">
              <w:rPr>
                <w:rFonts w:ascii="仿宋_GB2312" w:eastAsia="仿宋_GB2312" w:hint="eastAsia"/>
                <w:sz w:val="24"/>
                <w:szCs w:val="24"/>
                <w:shd w:val="clear" w:color="auto" w:fill="FFFFFF"/>
              </w:rPr>
              <w:t>个股精选策略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5.5.2.2  </w:t>
            </w:r>
            <w:r w:rsidRPr="003B1A3F">
              <w:rPr>
                <w:rFonts w:ascii="仿宋_GB2312" w:eastAsia="仿宋_GB2312" w:hint="eastAsia"/>
                <w:sz w:val="24"/>
                <w:szCs w:val="24"/>
                <w:shd w:val="clear" w:color="auto" w:fill="FFFFFF"/>
              </w:rPr>
              <w:t>新股申购策略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本产品将研究首次发行（IPO）股票及增发新股的上市公司基本面，根据股票市场整体定价水平，估计新股上市</w:t>
            </w:r>
            <w:r w:rsidRPr="003B1A3F">
              <w:rPr>
                <w:rFonts w:ascii="仿宋_GB2312" w:eastAsia="仿宋_GB2312" w:hint="eastAsia"/>
                <w:sz w:val="24"/>
                <w:szCs w:val="24"/>
                <w:shd w:val="clear" w:color="auto" w:fill="FFFFFF"/>
              </w:rPr>
              <w:lastRenderedPageBreak/>
              <w:t>交易的合理价格，同时参考一级市场资金供求关系，制定相应的新股申购策略。本产品对于通过参与新股认购所获得的股票，将根据其市场价格相对于其合理内在价值的高低，确定继续持有或者卖出。</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  </w:t>
            </w:r>
            <w:r w:rsidRPr="003B1A3F">
              <w:rPr>
                <w:rFonts w:ascii="仿宋_GB2312" w:eastAsia="仿宋_GB2312" w:hint="eastAsia"/>
                <w:sz w:val="24"/>
                <w:szCs w:val="24"/>
                <w:shd w:val="clear" w:color="auto" w:fill="FFFFFF"/>
              </w:rPr>
              <w:t>债券投资策略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本产品将在保持组合低波动性的前提下，运用多种积极管理增值策略，追求稳健回报。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5.5.3.1  </w:t>
            </w:r>
            <w:r w:rsidRPr="003B1A3F">
              <w:rPr>
                <w:rFonts w:ascii="仿宋_GB2312" w:eastAsia="仿宋_GB2312" w:hint="eastAsia"/>
                <w:sz w:val="24"/>
                <w:szCs w:val="24"/>
                <w:shd w:val="clear" w:color="auto" w:fill="FFFFFF"/>
              </w:rPr>
              <w:t>久期调整策略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本产品将根据对利率水平的预期，在预期利率下降时，增加组合久期，以较多地获得债券价格上升带来的收益，在预期利率上升时，减小组合久期，以规避债券价格下降的风险。</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5.5.3.2  </w:t>
            </w:r>
            <w:r w:rsidRPr="003B1A3F">
              <w:rPr>
                <w:rFonts w:ascii="仿宋_GB2312" w:eastAsia="仿宋_GB2312" w:hint="eastAsia"/>
                <w:sz w:val="24"/>
                <w:szCs w:val="24"/>
                <w:shd w:val="clear" w:color="auto" w:fill="FFFFFF"/>
              </w:rPr>
              <w:t>收益率曲线策略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在久期确定的基础上，根据对收益率曲线形状变化的预测，采用子弹型策略、哑铃型策略或梯形策略，在长期、中期和短期债券间进行配置，以从长、中、短期债券的相对价格变化中获利。</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5.5.3.3  </w:t>
            </w:r>
            <w:r w:rsidRPr="003B1A3F">
              <w:rPr>
                <w:rFonts w:ascii="仿宋_GB2312" w:eastAsia="仿宋_GB2312" w:hint="eastAsia"/>
                <w:sz w:val="24"/>
                <w:szCs w:val="24"/>
                <w:shd w:val="clear" w:color="auto" w:fill="FFFFFF"/>
              </w:rPr>
              <w:t>债券类属配置策略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5.5.3.4  </w:t>
            </w:r>
            <w:r w:rsidRPr="003B1A3F">
              <w:rPr>
                <w:rFonts w:ascii="仿宋_GB2312" w:eastAsia="仿宋_GB2312" w:hint="eastAsia"/>
                <w:sz w:val="24"/>
                <w:szCs w:val="24"/>
                <w:shd w:val="clear" w:color="auto" w:fill="FFFFFF"/>
              </w:rPr>
              <w:t>骑乘策略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通过分析收益率曲线各期限段的利差情况，买入收益率曲线最陡峭处所对应的期限债券，随着本产品持有债券时间的延长，债券的剩余期限将缩短，到期收益率将下降，产品从而可获得资本利得收入。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5.5.3.5  </w:t>
            </w:r>
            <w:r w:rsidRPr="003B1A3F">
              <w:rPr>
                <w:rFonts w:ascii="仿宋_GB2312" w:eastAsia="仿宋_GB2312" w:hint="eastAsia"/>
                <w:sz w:val="24"/>
                <w:szCs w:val="24"/>
                <w:shd w:val="clear" w:color="auto" w:fill="FFFFFF"/>
              </w:rPr>
              <w:t>相对价值策略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相对价值策略包括研究国债与金融债之间的信用利差、交易所与银行间的市场利差等。金融债与国债的利差由税收因素形成，利差的大小主要受市</w:t>
            </w:r>
            <w:r w:rsidRPr="003B1A3F">
              <w:rPr>
                <w:rFonts w:ascii="仿宋_GB2312" w:eastAsia="仿宋_GB2312" w:hint="eastAsia"/>
                <w:sz w:val="24"/>
                <w:szCs w:val="24"/>
                <w:shd w:val="clear" w:color="auto" w:fill="FFFFFF"/>
              </w:rPr>
              <w:lastRenderedPageBreak/>
              <w:t>场资金供给充裕程度决定，资金供给越充分上述利差将越小。交易所与银行间的联动性随着市场改革势必渐渐加强，两市之间的利差能够提供一些增值机会。</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5.5.3.6  </w:t>
            </w:r>
            <w:r w:rsidRPr="003B1A3F">
              <w:rPr>
                <w:rFonts w:ascii="仿宋_GB2312" w:eastAsia="仿宋_GB2312" w:hint="eastAsia"/>
                <w:sz w:val="24"/>
                <w:szCs w:val="24"/>
                <w:shd w:val="clear" w:color="auto" w:fill="FFFFFF"/>
              </w:rPr>
              <w:t>信用利差策略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5.5.3.7  </w:t>
            </w:r>
            <w:r w:rsidRPr="003B1A3F">
              <w:rPr>
                <w:rFonts w:ascii="仿宋_GB2312" w:eastAsia="仿宋_GB2312" w:hint="eastAsia"/>
                <w:sz w:val="24"/>
                <w:szCs w:val="24"/>
                <w:shd w:val="clear" w:color="auto" w:fill="FFFFFF"/>
              </w:rPr>
              <w:t>回购放大策略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该策略在资金相对充裕的情况下是风险</w:t>
            </w:r>
            <w:r w:rsidR="007A53C4" w:rsidRPr="003B1A3F">
              <w:rPr>
                <w:rFonts w:ascii="仿宋_GB2312" w:eastAsia="仿宋_GB2312" w:hint="eastAsia"/>
                <w:sz w:val="24"/>
                <w:szCs w:val="24"/>
                <w:shd w:val="clear" w:color="auto" w:fill="FFFFFF"/>
              </w:rPr>
              <w:t>较低</w:t>
            </w:r>
            <w:r w:rsidRPr="003B1A3F">
              <w:rPr>
                <w:rFonts w:ascii="仿宋_GB2312" w:eastAsia="仿宋_GB2312" w:hint="eastAsia"/>
                <w:sz w:val="24"/>
                <w:szCs w:val="24"/>
                <w:shd w:val="clear" w:color="auto" w:fill="FFFFFF"/>
              </w:rPr>
              <w:t>的投资策略。即在基础组合的基础上，使用基础组合持有的债券进行回购放大融入短期资金滚动操作，同时选择2年以下的交易所和银行间品种进行投资以获取骑乘及短期债券与货币市场利率的利差。</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5.5.3.8  </w:t>
            </w:r>
            <w:r w:rsidRPr="003B1A3F">
              <w:rPr>
                <w:rFonts w:ascii="仿宋_GB2312" w:eastAsia="仿宋_GB2312" w:hint="eastAsia"/>
                <w:sz w:val="24"/>
                <w:szCs w:val="24"/>
                <w:shd w:val="clear" w:color="auto" w:fill="FFFFFF"/>
              </w:rPr>
              <w:t>可转债投资策略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可转债不同于一般的企业债券，其投资人具有在一定条件下转股、回售的权利，因此其理论价值等于作为普通债券的基础价值加上可转债内含选择权的价值。本产品投资于可转债，主要目标是降低产品净值的下行风险</w:t>
            </w:r>
            <w:r w:rsidR="007A53C4" w:rsidRPr="003B1A3F">
              <w:rPr>
                <w:rFonts w:ascii="仿宋_GB2312" w:eastAsia="仿宋_GB2312" w:hint="eastAsia"/>
                <w:sz w:val="24"/>
                <w:szCs w:val="24"/>
                <w:shd w:val="clear" w:color="auto" w:fill="FFFFFF"/>
              </w:rPr>
              <w:t>，</w:t>
            </w:r>
            <w:r w:rsidRPr="003B1A3F">
              <w:rPr>
                <w:rFonts w:ascii="仿宋_GB2312" w:eastAsia="仿宋_GB2312" w:hint="eastAsia"/>
                <w:sz w:val="24"/>
                <w:szCs w:val="24"/>
                <w:shd w:val="clear" w:color="auto" w:fill="FFFFFF"/>
              </w:rPr>
              <w:t>产品投资的可转债可以转股，以保留参与股票升值的收益潜力。</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a.积极管理策略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b.一级市场申购策略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目前，可转债均采取定价发行，对于那些发行条款优惠、期权价值较高、</w:t>
            </w:r>
            <w:r w:rsidRPr="003B1A3F">
              <w:rPr>
                <w:rFonts w:ascii="仿宋_GB2312" w:eastAsia="仿宋_GB2312" w:hint="eastAsia"/>
                <w:sz w:val="24"/>
                <w:szCs w:val="24"/>
                <w:shd w:val="clear" w:color="auto" w:fill="FFFFFF"/>
              </w:rPr>
              <w:lastRenderedPageBreak/>
              <w:t>公司基本面优良的可转债，因供求不平衡，会产生较大的一、二级市场价差。因此，为增加组合收益，本产品将在充分研究的基础上，参与可转换债券的一级市场申购，在严格控制风险的前提下获得稳定收益。</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sz w:val="24"/>
                <w:szCs w:val="24"/>
                <w:shd w:val="clear" w:color="auto" w:fill="FFFFFF"/>
              </w:rPr>
              <w:t xml:space="preserve">5.5.4 </w:t>
            </w:r>
            <w:r w:rsidRPr="003B1A3F">
              <w:rPr>
                <w:rFonts w:ascii="仿宋_GB2312" w:eastAsia="仿宋_GB2312" w:hint="eastAsia"/>
                <w:sz w:val="24"/>
                <w:szCs w:val="24"/>
                <w:shd w:val="clear" w:color="auto" w:fill="FFFFFF"/>
              </w:rPr>
              <w:t>建仓期策略</w:t>
            </w:r>
          </w:p>
          <w:p w:rsidR="004B212F" w:rsidRPr="003B1A3F" w:rsidRDefault="004B212F" w:rsidP="004B212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本产品将根据市场波动性及其走向趋势，采用时间平均法调整建仓节奏，控制建仓成本，同时在组合获利达到既定目标时及时兑现，以实现稳健收益目标。</w:t>
            </w:r>
          </w:p>
          <w:p w:rsidR="00CF7D0E" w:rsidRPr="003B1A3F" w:rsidRDefault="004B212F" w:rsidP="003863AF">
            <w:pPr>
              <w:rPr>
                <w:rFonts w:ascii="仿宋_GB2312" w:eastAsia="仿宋_GB2312"/>
                <w:sz w:val="24"/>
                <w:szCs w:val="24"/>
                <w:shd w:val="clear" w:color="auto" w:fill="FFFFFF"/>
              </w:rPr>
            </w:pPr>
            <w:r w:rsidRPr="003B1A3F">
              <w:rPr>
                <w:rFonts w:ascii="仿宋_GB2312" w:eastAsia="仿宋_GB2312" w:hint="eastAsia"/>
                <w:sz w:val="24"/>
                <w:szCs w:val="24"/>
                <w:shd w:val="clear" w:color="auto" w:fill="FFFFFF"/>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r>
      <w:tr w:rsidR="00363366" w:rsidRPr="003B1A3F" w:rsidTr="00557C65">
        <w:trPr>
          <w:trHeight w:val="601"/>
          <w:jc w:val="center"/>
        </w:trPr>
        <w:tc>
          <w:tcPr>
            <w:tcW w:w="1271" w:type="dxa"/>
            <w:tcBorders>
              <w:bottom w:val="single" w:sz="4" w:space="0" w:color="000000"/>
            </w:tcBorders>
            <w:vAlign w:val="center"/>
          </w:tcPr>
          <w:p w:rsidR="00363366" w:rsidRPr="003B1A3F" w:rsidRDefault="00915779" w:rsidP="000747A6">
            <w:pPr>
              <w:jc w:val="center"/>
              <w:rPr>
                <w:rFonts w:ascii="仿宋_GB2312" w:eastAsia="仿宋_GB2312" w:hAnsi="宋体"/>
                <w:sz w:val="24"/>
                <w:szCs w:val="24"/>
              </w:rPr>
            </w:pPr>
            <w:r w:rsidRPr="003B1A3F">
              <w:rPr>
                <w:rFonts w:ascii="仿宋_GB2312" w:eastAsia="仿宋_GB2312" w:hAnsi="宋体"/>
                <w:sz w:val="24"/>
                <w:szCs w:val="24"/>
              </w:rPr>
              <w:lastRenderedPageBreak/>
              <w:t>7.7.8</w:t>
            </w:r>
          </w:p>
          <w:p w:rsidR="004B212F" w:rsidRPr="003B1A3F" w:rsidRDefault="004B212F" w:rsidP="000747A6">
            <w:pPr>
              <w:jc w:val="center"/>
              <w:rPr>
                <w:rFonts w:ascii="仿宋_GB2312" w:eastAsia="仿宋_GB2312" w:hAnsi="宋体"/>
                <w:sz w:val="24"/>
                <w:szCs w:val="24"/>
              </w:rPr>
            </w:pPr>
            <w:r w:rsidRPr="003B1A3F">
              <w:rPr>
                <w:rFonts w:ascii="仿宋_GB2312" w:eastAsia="仿宋_GB2312" w:hAnsi="宋体" w:hint="eastAsia"/>
                <w:sz w:val="24"/>
                <w:szCs w:val="24"/>
              </w:rPr>
              <w:t>（新增）</w:t>
            </w:r>
          </w:p>
        </w:tc>
        <w:tc>
          <w:tcPr>
            <w:tcW w:w="3260" w:type="dxa"/>
            <w:tcBorders>
              <w:bottom w:val="single" w:sz="4" w:space="0" w:color="000000"/>
            </w:tcBorders>
            <w:vAlign w:val="center"/>
          </w:tcPr>
          <w:p w:rsidR="00363366" w:rsidRPr="003B1A3F" w:rsidRDefault="00363366" w:rsidP="00915779">
            <w:pPr>
              <w:rPr>
                <w:rFonts w:ascii="仿宋_GB2312" w:eastAsia="仿宋_GB2312" w:hAnsi="宋体"/>
                <w:sz w:val="24"/>
                <w:szCs w:val="24"/>
              </w:rPr>
            </w:pPr>
          </w:p>
        </w:tc>
        <w:tc>
          <w:tcPr>
            <w:tcW w:w="4111" w:type="dxa"/>
            <w:tcBorders>
              <w:bottom w:val="single" w:sz="4" w:space="0" w:color="000000"/>
            </w:tcBorders>
            <w:vAlign w:val="center"/>
          </w:tcPr>
          <w:p w:rsidR="00363366"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投资管理人可以通过公司网站以公告形式规定单个投资者的申购金额上限。</w:t>
            </w:r>
          </w:p>
        </w:tc>
      </w:tr>
      <w:tr w:rsidR="00915779" w:rsidRPr="003B1A3F" w:rsidTr="00557C65">
        <w:trPr>
          <w:trHeight w:val="601"/>
          <w:jc w:val="center"/>
        </w:trPr>
        <w:tc>
          <w:tcPr>
            <w:tcW w:w="1271" w:type="dxa"/>
            <w:tcBorders>
              <w:bottom w:val="single" w:sz="4" w:space="0" w:color="000000"/>
            </w:tcBorders>
            <w:vAlign w:val="center"/>
          </w:tcPr>
          <w:p w:rsidR="00915779" w:rsidRPr="003B1A3F" w:rsidRDefault="00641AFF" w:rsidP="00641AFF">
            <w:pPr>
              <w:jc w:val="center"/>
              <w:rPr>
                <w:rFonts w:ascii="仿宋_GB2312" w:eastAsia="仿宋_GB2312" w:hAnsi="宋体"/>
                <w:sz w:val="24"/>
                <w:szCs w:val="24"/>
              </w:rPr>
            </w:pPr>
            <w:r w:rsidRPr="003B1A3F">
              <w:rPr>
                <w:rFonts w:ascii="仿宋_GB2312" w:eastAsia="仿宋_GB2312" w:hAnsi="宋体" w:hint="eastAsia"/>
                <w:sz w:val="24"/>
                <w:szCs w:val="24"/>
              </w:rPr>
              <w:t>9.1</w:t>
            </w:r>
          </w:p>
        </w:tc>
        <w:tc>
          <w:tcPr>
            <w:tcW w:w="3260"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投资目标</w:t>
            </w:r>
          </w:p>
          <w:p w:rsidR="00915779" w:rsidRPr="003B1A3F" w:rsidRDefault="00915779" w:rsidP="00915779">
            <w:pPr>
              <w:rPr>
                <w:rFonts w:ascii="仿宋_GB2312" w:eastAsia="仿宋_GB2312" w:hAnsi="宋体"/>
                <w:sz w:val="24"/>
                <w:szCs w:val="24"/>
              </w:rPr>
            </w:pPr>
            <w:r w:rsidRPr="003B1A3F">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投资目标</w:t>
            </w:r>
          </w:p>
          <w:p w:rsidR="00915779" w:rsidRPr="003B1A3F" w:rsidRDefault="00915779" w:rsidP="00915779">
            <w:pPr>
              <w:rPr>
                <w:rFonts w:ascii="仿宋_GB2312" w:eastAsia="仿宋_GB2312" w:hAnsi="宋体"/>
                <w:sz w:val="24"/>
                <w:szCs w:val="24"/>
              </w:rPr>
            </w:pPr>
            <w:r w:rsidRPr="003B1A3F">
              <w:rPr>
                <w:rFonts w:ascii="仿宋_GB2312" w:eastAsia="仿宋_GB2312" w:hAnsi="宋体" w:hint="eastAsia"/>
                <w:sz w:val="24"/>
                <w:szCs w:val="24"/>
              </w:rPr>
              <w:t>通过灵活运用多种投资策略，充分挖掘和利用市场中潜在的投资机会，谋求本产品资产的长期、持续增值。</w:t>
            </w:r>
          </w:p>
        </w:tc>
      </w:tr>
      <w:tr w:rsidR="00915779" w:rsidRPr="003B1A3F" w:rsidTr="00557C65">
        <w:trPr>
          <w:trHeight w:val="601"/>
          <w:jc w:val="center"/>
        </w:trPr>
        <w:tc>
          <w:tcPr>
            <w:tcW w:w="1271" w:type="dxa"/>
            <w:tcBorders>
              <w:bottom w:val="single" w:sz="4" w:space="0" w:color="000000"/>
            </w:tcBorders>
            <w:vAlign w:val="center"/>
          </w:tcPr>
          <w:p w:rsidR="00915779" w:rsidRPr="003B1A3F" w:rsidRDefault="00915779" w:rsidP="00915779">
            <w:pPr>
              <w:jc w:val="center"/>
              <w:rPr>
                <w:rFonts w:ascii="仿宋_GB2312" w:eastAsia="仿宋_GB2312" w:hAnsi="宋体"/>
                <w:sz w:val="24"/>
                <w:szCs w:val="24"/>
              </w:rPr>
            </w:pPr>
            <w:r w:rsidRPr="003B1A3F">
              <w:rPr>
                <w:rFonts w:ascii="仿宋_GB2312" w:eastAsia="仿宋_GB2312" w:hAnsi="宋体" w:hint="eastAsia"/>
                <w:sz w:val="24"/>
                <w:szCs w:val="24"/>
              </w:rPr>
              <w:t>9.2</w:t>
            </w:r>
          </w:p>
          <w:p w:rsidR="00915779" w:rsidRPr="003B1A3F" w:rsidRDefault="00915779" w:rsidP="002651CE">
            <w:pPr>
              <w:rPr>
                <w:rFonts w:ascii="仿宋_GB2312" w:eastAsia="仿宋_GB2312" w:hAnsi="宋体"/>
                <w:sz w:val="24"/>
                <w:szCs w:val="24"/>
              </w:rPr>
            </w:pPr>
          </w:p>
        </w:tc>
        <w:tc>
          <w:tcPr>
            <w:tcW w:w="3260"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投资基准</w:t>
            </w:r>
          </w:p>
          <w:p w:rsidR="00915779" w:rsidRPr="003B1A3F" w:rsidRDefault="00915779" w:rsidP="00915779">
            <w:pPr>
              <w:rPr>
                <w:rFonts w:ascii="仿宋_GB2312" w:eastAsia="仿宋_GB2312" w:hAnsi="宋体"/>
                <w:sz w:val="24"/>
                <w:szCs w:val="24"/>
              </w:rPr>
            </w:pPr>
            <w:r w:rsidRPr="003B1A3F">
              <w:rPr>
                <w:rFonts w:ascii="仿宋_GB2312" w:eastAsia="仿宋_GB2312" w:hAnsi="宋体" w:hint="eastAsia"/>
                <w:sz w:val="24"/>
                <w:szCs w:val="24"/>
              </w:rPr>
              <w:t>同期中国人民银行公布的三年定期存款税后基准利率，并随利率变动实时调整。</w:t>
            </w:r>
          </w:p>
        </w:tc>
        <w:tc>
          <w:tcPr>
            <w:tcW w:w="4111" w:type="dxa"/>
            <w:tcBorders>
              <w:bottom w:val="single" w:sz="4" w:space="0" w:color="000000"/>
            </w:tcBorders>
            <w:vAlign w:val="center"/>
          </w:tcPr>
          <w:p w:rsidR="00DA0200" w:rsidRPr="003B1A3F" w:rsidRDefault="00DA0200" w:rsidP="00915779">
            <w:pPr>
              <w:adjustRightInd w:val="0"/>
              <w:snapToGrid w:val="0"/>
              <w:rPr>
                <w:rFonts w:ascii="仿宋_GB2312" w:eastAsia="仿宋_GB2312" w:hAnsi="宋体"/>
                <w:sz w:val="24"/>
                <w:szCs w:val="24"/>
              </w:rPr>
            </w:pPr>
            <w:r w:rsidRPr="003B1A3F">
              <w:rPr>
                <w:rFonts w:ascii="仿宋_GB2312" w:eastAsia="仿宋_GB2312" w:hAnsi="宋体" w:hint="eastAsia"/>
                <w:sz w:val="24"/>
                <w:szCs w:val="24"/>
              </w:rPr>
              <w:t>投资基准</w:t>
            </w:r>
          </w:p>
          <w:p w:rsidR="00915779" w:rsidRPr="003B1A3F" w:rsidRDefault="003E6110" w:rsidP="00915779">
            <w:pPr>
              <w:adjustRightInd w:val="0"/>
              <w:snapToGrid w:val="0"/>
              <w:rPr>
                <w:rFonts w:ascii="仿宋_GB2312" w:eastAsia="仿宋_GB2312" w:hAnsi="宋体"/>
                <w:b/>
                <w:sz w:val="24"/>
                <w:szCs w:val="24"/>
              </w:rPr>
            </w:pPr>
            <w:r w:rsidRPr="003B1A3F">
              <w:rPr>
                <w:rFonts w:ascii="仿宋_GB2312" w:eastAsia="仿宋_GB2312" w:hAnsi="宋体" w:hint="eastAsia"/>
                <w:sz w:val="24"/>
                <w:szCs w:val="24"/>
              </w:rPr>
              <w:t>同期沪深</w:t>
            </w:r>
            <w:r w:rsidRPr="003B1A3F">
              <w:rPr>
                <w:rFonts w:ascii="仿宋_GB2312" w:eastAsia="仿宋_GB2312" w:hAnsi="宋体"/>
                <w:sz w:val="24"/>
                <w:szCs w:val="24"/>
              </w:rPr>
              <w:t>300指数收益率*95%+同期中国人民银行公布的一年定期存款税后基准利率*5%。</w:t>
            </w:r>
          </w:p>
        </w:tc>
      </w:tr>
      <w:tr w:rsidR="004B212F" w:rsidRPr="003B1A3F" w:rsidTr="00557C65">
        <w:trPr>
          <w:trHeight w:val="601"/>
          <w:jc w:val="center"/>
        </w:trPr>
        <w:tc>
          <w:tcPr>
            <w:tcW w:w="1271" w:type="dxa"/>
            <w:tcBorders>
              <w:bottom w:val="single" w:sz="4" w:space="0" w:color="000000"/>
            </w:tcBorders>
            <w:vAlign w:val="center"/>
          </w:tcPr>
          <w:p w:rsidR="004B212F" w:rsidRPr="003B1A3F" w:rsidRDefault="004B212F" w:rsidP="00915779">
            <w:pPr>
              <w:jc w:val="center"/>
              <w:rPr>
                <w:rFonts w:ascii="仿宋_GB2312" w:eastAsia="仿宋_GB2312" w:hAnsi="宋体"/>
                <w:sz w:val="24"/>
                <w:szCs w:val="24"/>
              </w:rPr>
            </w:pPr>
            <w:r w:rsidRPr="003B1A3F">
              <w:rPr>
                <w:rFonts w:ascii="仿宋_GB2312" w:eastAsia="仿宋_GB2312" w:hAnsi="宋体" w:hint="eastAsia"/>
                <w:sz w:val="24"/>
                <w:szCs w:val="24"/>
              </w:rPr>
              <w:t>9.2</w:t>
            </w:r>
          </w:p>
          <w:p w:rsidR="004B212F" w:rsidRPr="003B1A3F" w:rsidRDefault="004B212F" w:rsidP="00915779">
            <w:pPr>
              <w:jc w:val="center"/>
              <w:rPr>
                <w:rFonts w:ascii="仿宋_GB2312" w:eastAsia="仿宋_GB2312" w:hAnsi="宋体"/>
                <w:sz w:val="24"/>
                <w:szCs w:val="24"/>
              </w:rPr>
            </w:pPr>
            <w:r w:rsidRPr="003B1A3F">
              <w:rPr>
                <w:rFonts w:ascii="仿宋_GB2312" w:eastAsia="仿宋_GB2312" w:hAnsi="宋体" w:hint="eastAsia"/>
                <w:sz w:val="24"/>
                <w:szCs w:val="24"/>
              </w:rPr>
              <w:t>（新增）</w:t>
            </w:r>
          </w:p>
        </w:tc>
        <w:tc>
          <w:tcPr>
            <w:tcW w:w="3260"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p>
        </w:tc>
        <w:tc>
          <w:tcPr>
            <w:tcW w:w="4111" w:type="dxa"/>
            <w:tcBorders>
              <w:bottom w:val="single" w:sz="4" w:space="0" w:color="000000"/>
            </w:tcBorders>
            <w:vAlign w:val="center"/>
          </w:tcPr>
          <w:p w:rsidR="004B212F" w:rsidRPr="003B1A3F" w:rsidRDefault="004B212F" w:rsidP="00915779">
            <w:pPr>
              <w:adjustRightInd w:val="0"/>
              <w:snapToGrid w:val="0"/>
              <w:rPr>
                <w:rFonts w:ascii="仿宋_GB2312" w:eastAsia="仿宋_GB2312" w:hAnsi="宋体"/>
                <w:sz w:val="24"/>
                <w:szCs w:val="24"/>
              </w:rPr>
            </w:pPr>
            <w:r w:rsidRPr="003B1A3F">
              <w:rPr>
                <w:rFonts w:ascii="仿宋_GB2312" w:eastAsia="仿宋_GB2312" w:hAnsi="宋体" w:hint="eastAsia"/>
                <w:sz w:val="24"/>
                <w:szCs w:val="24"/>
              </w:rPr>
              <w:t>本合同约定的投资基准仅是评价本产品业绩表现的比较标准，不构成投资管理人、托管人对本产品本金和收益状况的任何承诺或保证。</w:t>
            </w:r>
          </w:p>
        </w:tc>
      </w:tr>
      <w:tr w:rsidR="00915779" w:rsidRPr="003B1A3F" w:rsidTr="00557C65">
        <w:trPr>
          <w:trHeight w:val="601"/>
          <w:jc w:val="center"/>
        </w:trPr>
        <w:tc>
          <w:tcPr>
            <w:tcW w:w="1271" w:type="dxa"/>
            <w:tcBorders>
              <w:bottom w:val="single" w:sz="4" w:space="0" w:color="000000"/>
            </w:tcBorders>
            <w:vAlign w:val="center"/>
          </w:tcPr>
          <w:p w:rsidR="00915779" w:rsidRPr="003B1A3F" w:rsidRDefault="00915779" w:rsidP="00915779">
            <w:pPr>
              <w:jc w:val="center"/>
              <w:rPr>
                <w:rFonts w:ascii="仿宋_GB2312" w:eastAsia="仿宋_GB2312" w:hAnsi="宋体"/>
                <w:sz w:val="24"/>
                <w:szCs w:val="24"/>
              </w:rPr>
            </w:pPr>
            <w:r w:rsidRPr="003B1A3F">
              <w:rPr>
                <w:rFonts w:ascii="仿宋_GB2312" w:eastAsia="仿宋_GB2312" w:hAnsi="宋体" w:hint="eastAsia"/>
                <w:sz w:val="24"/>
                <w:szCs w:val="24"/>
              </w:rPr>
              <w:t>9.3</w:t>
            </w:r>
          </w:p>
        </w:tc>
        <w:tc>
          <w:tcPr>
            <w:tcW w:w="3260"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风险收益特征</w:t>
            </w:r>
          </w:p>
          <w:p w:rsidR="00915779" w:rsidRPr="003B1A3F" w:rsidRDefault="00915779" w:rsidP="00915779">
            <w:pPr>
              <w:rPr>
                <w:rFonts w:ascii="仿宋_GB2312" w:eastAsia="仿宋_GB2312" w:hAnsi="宋体"/>
                <w:sz w:val="24"/>
                <w:szCs w:val="24"/>
              </w:rPr>
            </w:pPr>
            <w:r w:rsidRPr="003B1A3F">
              <w:rPr>
                <w:rFonts w:ascii="仿宋_GB2312" w:eastAsia="仿宋_GB2312" w:hAnsi="宋体" w:hint="eastAsia"/>
                <w:sz w:val="24"/>
                <w:szCs w:val="24"/>
              </w:rPr>
              <w:t>本产品是股票型养老金产品，风险高于货币型、固定收益型养老金产品，低于普通股票型养老金产品和混合型养老金产品。</w:t>
            </w:r>
          </w:p>
        </w:tc>
        <w:tc>
          <w:tcPr>
            <w:tcW w:w="4111" w:type="dxa"/>
            <w:tcBorders>
              <w:bottom w:val="single" w:sz="4" w:space="0" w:color="000000"/>
            </w:tcBorders>
            <w:vAlign w:val="center"/>
          </w:tcPr>
          <w:p w:rsidR="004B212F" w:rsidRPr="003B1A3F" w:rsidRDefault="004B212F" w:rsidP="00915779">
            <w:pPr>
              <w:rPr>
                <w:rFonts w:ascii="仿宋_GB2312" w:eastAsia="仿宋_GB2312" w:hAnsi="宋体"/>
                <w:sz w:val="24"/>
                <w:szCs w:val="24"/>
              </w:rPr>
            </w:pPr>
            <w:r w:rsidRPr="003B1A3F">
              <w:rPr>
                <w:rFonts w:ascii="仿宋_GB2312" w:eastAsia="仿宋_GB2312" w:hAnsi="宋体" w:hint="eastAsia"/>
                <w:sz w:val="24"/>
                <w:szCs w:val="24"/>
              </w:rPr>
              <w:t>风险收益特征</w:t>
            </w:r>
          </w:p>
          <w:p w:rsidR="00915779" w:rsidRPr="003B1A3F" w:rsidRDefault="00915779" w:rsidP="00915779">
            <w:pPr>
              <w:rPr>
                <w:rFonts w:ascii="仿宋_GB2312" w:eastAsia="仿宋_GB2312" w:hAnsi="宋体"/>
                <w:sz w:val="24"/>
                <w:szCs w:val="24"/>
              </w:rPr>
            </w:pPr>
            <w:r w:rsidRPr="003B1A3F">
              <w:rPr>
                <w:rFonts w:ascii="仿宋_GB2312" w:eastAsia="仿宋_GB2312" w:hAnsi="宋体" w:hint="eastAsia"/>
                <w:sz w:val="24"/>
                <w:szCs w:val="24"/>
              </w:rPr>
              <w:t>本产品是股票型养老金产品，风险高于货币型、固定收益型、混合型养老金产品，投资风险较高，投资者需承担较高的短期波动风险。</w:t>
            </w:r>
          </w:p>
        </w:tc>
      </w:tr>
      <w:tr w:rsidR="003863AF" w:rsidRPr="003B1A3F" w:rsidTr="00557C65">
        <w:trPr>
          <w:trHeight w:val="601"/>
          <w:jc w:val="center"/>
        </w:trPr>
        <w:tc>
          <w:tcPr>
            <w:tcW w:w="1271" w:type="dxa"/>
            <w:tcBorders>
              <w:bottom w:val="single" w:sz="4" w:space="0" w:color="000000"/>
            </w:tcBorders>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9.4.5</w:t>
            </w:r>
          </w:p>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（新增）</w:t>
            </w:r>
          </w:p>
        </w:tc>
        <w:tc>
          <w:tcPr>
            <w:tcW w:w="3260"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p>
        </w:tc>
        <w:tc>
          <w:tcPr>
            <w:tcW w:w="4111"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投资管理人可以在本合同约定的投资范围内，运用本养老金产品资产投资</w:t>
            </w:r>
            <w:r w:rsidRPr="003B1A3F">
              <w:rPr>
                <w:rFonts w:ascii="仿宋_GB2312" w:eastAsia="仿宋_GB2312" w:hAnsi="宋体" w:hint="eastAsia"/>
                <w:sz w:val="24"/>
                <w:szCs w:val="24"/>
              </w:rPr>
              <w:lastRenderedPageBreak/>
              <w:t>于本产品投资人、投资管理人、托管人及其关联方发行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3863AF" w:rsidRPr="003B1A3F" w:rsidTr="00557C65">
        <w:trPr>
          <w:trHeight w:val="601"/>
          <w:jc w:val="center"/>
        </w:trPr>
        <w:tc>
          <w:tcPr>
            <w:tcW w:w="1271" w:type="dxa"/>
            <w:tcBorders>
              <w:bottom w:val="single" w:sz="4" w:space="0" w:color="000000"/>
            </w:tcBorders>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lastRenderedPageBreak/>
              <w:t>15.4</w:t>
            </w:r>
          </w:p>
        </w:tc>
        <w:tc>
          <w:tcPr>
            <w:tcW w:w="3260"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季度报告应在每个季度结束之日起</w:t>
            </w:r>
            <w:r w:rsidRPr="003B1A3F">
              <w:rPr>
                <w:rFonts w:ascii="仿宋_GB2312" w:eastAsia="仿宋_GB2312" w:hAnsi="宋体"/>
                <w:sz w:val="24"/>
                <w:szCs w:val="24"/>
              </w:rPr>
              <w:t>15日内编制完毕；年度报告在年度披露依据监管机构要求完成编制及披露。养老金产品定期报告格式及内容以人力资源和社会保障部规定为准。</w:t>
            </w:r>
          </w:p>
        </w:tc>
        <w:tc>
          <w:tcPr>
            <w:tcW w:w="4111"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季度报告应在每个季度结束之日起</w:t>
            </w:r>
            <w:r w:rsidRPr="003B1A3F">
              <w:rPr>
                <w:rFonts w:ascii="仿宋_GB2312" w:eastAsia="仿宋_GB2312" w:hAnsi="宋体"/>
                <w:sz w:val="24"/>
                <w:szCs w:val="24"/>
              </w:rPr>
              <w:t>15日内编制完毕；年度报告应于年度结束后15个工作日内依据监管机构要求完成编制及披露。上述定期报告格式及内容以人力资源和社会保障部规定为准，提交时限如遇法定节假日可适当顺延。</w:t>
            </w:r>
          </w:p>
        </w:tc>
      </w:tr>
      <w:tr w:rsidR="003863AF" w:rsidRPr="003B1A3F" w:rsidTr="00557C65">
        <w:trPr>
          <w:trHeight w:val="601"/>
          <w:jc w:val="center"/>
        </w:trPr>
        <w:tc>
          <w:tcPr>
            <w:tcW w:w="1271" w:type="dxa"/>
            <w:tcBorders>
              <w:bottom w:val="single" w:sz="4" w:space="0" w:color="000000"/>
            </w:tcBorders>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16.2</w:t>
            </w:r>
          </w:p>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sz w:val="24"/>
                <w:szCs w:val="24"/>
              </w:rPr>
              <w:t>3</w:t>
            </w:r>
            <w:r w:rsidRPr="003B1A3F">
              <w:rPr>
                <w:rFonts w:ascii="仿宋_GB2312" w:eastAsia="仿宋_GB2312" w:hAnsi="宋体" w:hint="eastAsia"/>
                <w:sz w:val="24"/>
                <w:szCs w:val="24"/>
              </w:rPr>
              <w:t>、</w:t>
            </w:r>
            <w:r w:rsidRPr="003B1A3F">
              <w:rPr>
                <w:rFonts w:ascii="仿宋_GB2312" w:eastAsia="仿宋_GB2312" w:hAnsi="宋体"/>
                <w:sz w:val="24"/>
                <w:szCs w:val="24"/>
              </w:rPr>
              <w:t>积极管理风险</w:t>
            </w:r>
          </w:p>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（删除）</w:t>
            </w:r>
          </w:p>
        </w:tc>
        <w:tc>
          <w:tcPr>
            <w:tcW w:w="3260"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r w:rsidRPr="003B1A3F">
              <w:rPr>
                <w:rFonts w:ascii="仿宋_GB2312" w:eastAsia="仿宋_GB2312" w:hAnsi="宋体"/>
                <w:sz w:val="24"/>
                <w:szCs w:val="24"/>
              </w:rPr>
              <w:t xml:space="preserve">a.市场中性策略的风格风险 </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追求绝对收益的市场中性策略产品与普通股票型、混合型养老金产品不同。普通股票型、混合型养老金产品大多和股票市场、债券市场保持相对较高的相关性，而市场中策略产品通过卖空股指期货对冲系统性风险，其预期收益和预期风险与股票市场表现的相关性较低，主要取决于其投资策略的有效性。</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在股市上涨行情，市场性策略产品由于其所持有的股指期货空头头寸，其表现可能会低于不采用对冲策略的普通股票型和混合养老金产品的收益水平。这种表现是市场中性策略产品特有的投资策略——采用持续对冲策略所引发的结果，并不表明着投资管理人投资水平低于市场平均水平。</w:t>
            </w:r>
          </w:p>
          <w:p w:rsidR="003863AF" w:rsidRPr="003B1A3F" w:rsidRDefault="003863AF" w:rsidP="003863AF">
            <w:pPr>
              <w:rPr>
                <w:rFonts w:ascii="仿宋_GB2312" w:eastAsia="仿宋_GB2312" w:hAnsi="宋体"/>
                <w:sz w:val="24"/>
                <w:szCs w:val="24"/>
              </w:rPr>
            </w:pPr>
            <w:r w:rsidRPr="003B1A3F">
              <w:rPr>
                <w:rFonts w:ascii="仿宋_GB2312" w:eastAsia="仿宋_GB2312" w:hAnsi="宋体"/>
                <w:sz w:val="24"/>
                <w:szCs w:val="24"/>
              </w:rPr>
              <w:t>b.投资策略有效性风险</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本产品的投资策略包括指数增强和对冲两部分，具体通过构建现货组合同时卖空股指期货合约以对冲市场系统性风险，力求获得指数增强现货组合超越股指期货合约表现的超额收益。若本产品投资策略有效，将获得正的超额收益，产品份额净值上涨。若本产品的投资策略无效，将获得负的超额收益，产品的份额净值下跌。极端情况若本产品的投资策略无效，本产品持有的现货组合下跌，同时卖空股期约上涨，可能在股票市场和期货市场同时承受损失，产品的份额净值将下跌。</w:t>
            </w:r>
          </w:p>
          <w:p w:rsidR="003863AF" w:rsidRPr="003B1A3F" w:rsidRDefault="003863AF" w:rsidP="003863AF">
            <w:pPr>
              <w:rPr>
                <w:rFonts w:ascii="仿宋_GB2312" w:eastAsia="仿宋_GB2312" w:hAnsi="宋体"/>
                <w:sz w:val="24"/>
                <w:szCs w:val="24"/>
              </w:rPr>
            </w:pPr>
            <w:r w:rsidRPr="003B1A3F">
              <w:rPr>
                <w:rFonts w:ascii="仿宋_GB2312" w:eastAsia="仿宋_GB2312" w:hAnsi="宋体"/>
                <w:sz w:val="24"/>
                <w:szCs w:val="24"/>
              </w:rPr>
              <w:t>c.量化模型及金融数据的风险</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本产品应用量化模型和外部提供商的金融数据协助进行选股。由于量化模型是基于过往投资实践的知识开发的，面对不断变换市场环境和不断完善的理论方法，模型的部分具体设定依赖于过往经验认知，参数假设的变动可能影响模型的整体效果稳定性，模型效果的验证性依赖于历史数据，在实际运作过程中可能会因为市场环境的变化，影响靠模型构建的投资组合达到其预期的投资效果。</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本产品通过采集金融数据、数量化地分析股票及提供投资建议。数据通常来自不同的数据提供商，且在进行数据清洗、加工后作为量化模型的输入变量。采集到的原始金融数据的错误或不完整、预处理过程中的缺陷都可能直接影响量化模型的输出结果，形成数据风险，对产品的业绩产生不利的影响。</w:t>
            </w:r>
          </w:p>
          <w:p w:rsidR="003863AF" w:rsidRPr="003B1A3F" w:rsidRDefault="003863AF" w:rsidP="003863AF">
            <w:pPr>
              <w:rPr>
                <w:rFonts w:ascii="仿宋_GB2312" w:eastAsia="仿宋_GB2312" w:hAnsi="宋体"/>
                <w:sz w:val="24"/>
                <w:szCs w:val="24"/>
              </w:rPr>
            </w:pPr>
            <w:r w:rsidRPr="003B1A3F">
              <w:rPr>
                <w:rFonts w:ascii="仿宋_GB2312" w:eastAsia="仿宋_GB2312" w:hAnsi="宋体"/>
                <w:sz w:val="24"/>
                <w:szCs w:val="24"/>
              </w:rPr>
              <w:t>d.股指期货特有的风险</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基差风险：在利用股指期货对冲市场系统风险时，养老金产品的资产可能因为股指期货合约与标的指数价格变动方向不一致而承担基差风险。因存在基差风险，在股指期货合约展期操作时，养老金产品的资产可能因股指期货合约之间价差的异常变动而遭受展期风险。</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股指期货展期时的流动性风险：本养老金产品持有的股指期货头寸需要进行展期操作，平仓持有的股指期货合约，换成其它月份股指期货合约，当股指期货市场流动性不佳、交易量不足时，将会导致展期操作执行难度提高、交易成本增加，从而可能对养老金产品的资产造成不利的影响。</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期货盯市结算制度带来的现金管理风险：股指期货采取保证金交易制度，保证金账户实行当日无负债结算制度，资金管理要求高。当市场持续向不利方向波动导致期货保证金不足，如果未能在规定的时间内补足保证金，按规定将被强制平仓，可能给养老金产品的资产带来超出预期的损失。</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到期日风险：股指期货合约到期时，本养老金产品的账户如仍持有未平仓合约，交易所将按照交割结算价将账户持有的合约进行现金交割，因此无法继续持有到期合约，具有到期日风险。</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对手方风险：投资管理人运用养老金产品的资产投资于股指期货时，会尽力选择资信状况优良、风险控制能力强的期货公司作为经纪商，但不能杜绝在极端情况下，所选择的期货公司在交易过程中存在违法、违规经营行为或破产清算导致养老金产品的资产遭受损失。</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连带风险：为养老金产品的资产进行结算的结算会员或该结算会员下的其他投资者出现保证金不足、又未能在规定的时间内补足，或因其他原因导致中金所对该结算会员下的经纪账户强行平仓时，养老金产品的资产可能因被连带强行平仓而遭受损失。</w:t>
            </w:r>
          </w:p>
          <w:p w:rsidR="003863AF" w:rsidRPr="003B1A3F" w:rsidRDefault="003863AF" w:rsidP="003863AF">
            <w:pPr>
              <w:rPr>
                <w:rFonts w:ascii="仿宋_GB2312" w:eastAsia="仿宋_GB2312" w:hAnsi="宋体"/>
                <w:sz w:val="24"/>
                <w:szCs w:val="24"/>
              </w:rPr>
            </w:pPr>
            <w:r w:rsidRPr="003B1A3F">
              <w:rPr>
                <w:rFonts w:ascii="仿宋_GB2312" w:eastAsia="仿宋_GB2312" w:hAnsi="宋体" w:hint="eastAsia"/>
                <w:sz w:val="24"/>
                <w:szCs w:val="24"/>
              </w:rPr>
              <w:t>未平仓合约不能继续持有风险：由于国家法律、法规、政策的变化、中金所交易规则的修改、紧急措施的出台等原因，养老金产品的资产持有的未平仓合约可能无法继续持有，养老金产品的资产必须承担由此导致的损失。</w:t>
            </w:r>
          </w:p>
        </w:tc>
        <w:tc>
          <w:tcPr>
            <w:tcW w:w="4111" w:type="dxa"/>
            <w:tcBorders>
              <w:bottom w:val="single" w:sz="4" w:space="0" w:color="000000"/>
            </w:tcBorders>
            <w:vAlign w:val="center"/>
          </w:tcPr>
          <w:p w:rsidR="003863AF" w:rsidRPr="003B1A3F" w:rsidRDefault="003863AF" w:rsidP="003863AF">
            <w:pPr>
              <w:rPr>
                <w:rFonts w:ascii="仿宋_GB2312" w:eastAsia="仿宋_GB2312" w:hAnsi="宋体"/>
                <w:sz w:val="24"/>
                <w:szCs w:val="24"/>
              </w:rPr>
            </w:pPr>
          </w:p>
        </w:tc>
      </w:tr>
      <w:tr w:rsidR="00DA34BF" w:rsidRPr="003B1A3F" w:rsidTr="00557C65">
        <w:trPr>
          <w:trHeight w:val="601"/>
          <w:jc w:val="center"/>
        </w:trPr>
        <w:tc>
          <w:tcPr>
            <w:tcW w:w="1271" w:type="dxa"/>
            <w:tcBorders>
              <w:bottom w:val="single" w:sz="4" w:space="0" w:color="000000"/>
            </w:tcBorders>
            <w:vAlign w:val="center"/>
          </w:tcPr>
          <w:p w:rsidR="00DA34BF" w:rsidRPr="003B1A3F" w:rsidRDefault="00DA34BF" w:rsidP="003863AF">
            <w:pPr>
              <w:jc w:val="center"/>
              <w:rPr>
                <w:rFonts w:ascii="仿宋_GB2312" w:eastAsia="仿宋_GB2312" w:hAnsi="宋体"/>
                <w:sz w:val="24"/>
                <w:szCs w:val="24"/>
              </w:rPr>
            </w:pPr>
            <w:r w:rsidRPr="003B1A3F">
              <w:rPr>
                <w:rFonts w:ascii="仿宋_GB2312" w:eastAsia="仿宋_GB2312" w:hAnsi="宋体" w:hint="eastAsia"/>
                <w:sz w:val="24"/>
                <w:szCs w:val="24"/>
              </w:rPr>
              <w:t>17.1</w:t>
            </w:r>
          </w:p>
        </w:tc>
        <w:tc>
          <w:tcPr>
            <w:tcW w:w="3260" w:type="dxa"/>
            <w:tcBorders>
              <w:bottom w:val="single" w:sz="4" w:space="0" w:color="000000"/>
            </w:tcBorders>
            <w:vAlign w:val="center"/>
          </w:tcPr>
          <w:p w:rsidR="00DA34BF" w:rsidRPr="003B1A3F" w:rsidRDefault="00DA34BF" w:rsidP="00DA34BF">
            <w:pPr>
              <w:rPr>
                <w:rFonts w:ascii="仿宋_GB2312" w:eastAsia="仿宋_GB2312" w:hAnsi="宋体"/>
                <w:sz w:val="24"/>
                <w:szCs w:val="24"/>
              </w:rPr>
            </w:pPr>
            <w:r w:rsidRPr="003B1A3F">
              <w:rPr>
                <w:rFonts w:ascii="仿宋_GB2312" w:eastAsia="仿宋_GB2312" w:hAnsi="宋体" w:hint="eastAsia"/>
                <w:sz w:val="24"/>
                <w:szCs w:val="24"/>
              </w:rPr>
              <w:t>本合同及养老金产品的变更。</w:t>
            </w:r>
          </w:p>
          <w:p w:rsidR="00DA34BF" w:rsidRPr="003B1A3F" w:rsidRDefault="00DA34BF" w:rsidP="00DA34BF">
            <w:pPr>
              <w:rPr>
                <w:rFonts w:ascii="仿宋_GB2312" w:eastAsia="仿宋_GB2312" w:hAnsi="宋体"/>
                <w:sz w:val="24"/>
                <w:szCs w:val="24"/>
              </w:rPr>
            </w:pPr>
            <w:r w:rsidRPr="003B1A3F">
              <w:rPr>
                <w:rFonts w:ascii="仿宋_GB2312" w:eastAsia="仿宋_GB2312" w:hAnsi="宋体" w:hint="eastAsia"/>
                <w:sz w:val="24"/>
                <w:szCs w:val="24"/>
              </w:rPr>
              <w:t>本合同生效后，如需变更，须经投资管理人与托管人协商一致并达成书面协议。</w:t>
            </w:r>
          </w:p>
        </w:tc>
        <w:tc>
          <w:tcPr>
            <w:tcW w:w="4111" w:type="dxa"/>
            <w:tcBorders>
              <w:bottom w:val="single" w:sz="4" w:space="0" w:color="000000"/>
            </w:tcBorders>
            <w:vAlign w:val="center"/>
          </w:tcPr>
          <w:p w:rsidR="00DA34BF" w:rsidRPr="003B1A3F" w:rsidRDefault="00DA34BF" w:rsidP="00DA34BF">
            <w:pPr>
              <w:rPr>
                <w:rFonts w:ascii="仿宋_GB2312" w:eastAsia="仿宋_GB2312" w:hAnsi="宋体"/>
                <w:sz w:val="24"/>
                <w:szCs w:val="24"/>
              </w:rPr>
            </w:pPr>
            <w:r w:rsidRPr="003B1A3F">
              <w:rPr>
                <w:rFonts w:ascii="仿宋_GB2312" w:eastAsia="仿宋_GB2312" w:hAnsi="宋体" w:hint="eastAsia"/>
                <w:sz w:val="24"/>
                <w:szCs w:val="24"/>
              </w:rPr>
              <w:t>本合同及养老金产品的变更。</w:t>
            </w:r>
          </w:p>
          <w:p w:rsidR="00DA34BF" w:rsidRPr="003B1A3F" w:rsidRDefault="00DA34BF" w:rsidP="00DA34BF">
            <w:pPr>
              <w:rPr>
                <w:rFonts w:ascii="仿宋_GB2312" w:eastAsia="仿宋_GB2312" w:hAnsi="宋体"/>
                <w:sz w:val="24"/>
                <w:szCs w:val="24"/>
              </w:rPr>
            </w:pPr>
            <w:r w:rsidRPr="003B1A3F">
              <w:rPr>
                <w:rFonts w:ascii="仿宋_GB2312" w:eastAsia="仿宋_GB2312" w:hAnsi="宋体" w:hint="eastAsia"/>
                <w:sz w:val="24"/>
                <w:szCs w:val="24"/>
              </w:rPr>
              <w:t>本合同生效后，如需变更，须经投资管理人与托管人协商一致。</w:t>
            </w:r>
          </w:p>
        </w:tc>
      </w:tr>
      <w:tr w:rsidR="003863AF" w:rsidRPr="003B1A3F" w:rsidTr="00557C65">
        <w:trPr>
          <w:trHeight w:val="601"/>
          <w:jc w:val="center"/>
        </w:trPr>
        <w:tc>
          <w:tcPr>
            <w:tcW w:w="8642" w:type="dxa"/>
            <w:gridSpan w:val="3"/>
            <w:tcBorders>
              <w:bottom w:val="single" w:sz="4" w:space="0" w:color="000000"/>
            </w:tcBorders>
            <w:vAlign w:val="center"/>
          </w:tcPr>
          <w:p w:rsidR="003863AF" w:rsidRPr="00486A00" w:rsidRDefault="003863AF" w:rsidP="003863AF">
            <w:pPr>
              <w:jc w:val="left"/>
              <w:rPr>
                <w:rFonts w:ascii="仿宋_GB2312" w:eastAsia="仿宋_GB2312"/>
                <w:b/>
                <w:sz w:val="24"/>
                <w:szCs w:val="24"/>
              </w:rPr>
            </w:pPr>
            <w:r w:rsidRPr="00486A00">
              <w:rPr>
                <w:rFonts w:ascii="仿宋_GB2312" w:eastAsia="仿宋_GB2312" w:hint="eastAsia"/>
                <w:b/>
                <w:sz w:val="24"/>
                <w:szCs w:val="24"/>
              </w:rPr>
              <w:t>投资说明书变更内容</w:t>
            </w:r>
          </w:p>
        </w:tc>
      </w:tr>
      <w:tr w:rsidR="003863AF" w:rsidRPr="003B1A3F" w:rsidTr="00557C65">
        <w:trPr>
          <w:trHeight w:val="601"/>
          <w:jc w:val="center"/>
        </w:trPr>
        <w:tc>
          <w:tcPr>
            <w:tcW w:w="1271" w:type="dxa"/>
            <w:tcBorders>
              <w:bottom w:val="single" w:sz="4" w:space="0" w:color="000000"/>
            </w:tcBorders>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章节</w:t>
            </w:r>
          </w:p>
        </w:tc>
        <w:tc>
          <w:tcPr>
            <w:tcW w:w="3260" w:type="dxa"/>
            <w:tcBorders>
              <w:bottom w:val="single" w:sz="4" w:space="0" w:color="000000"/>
            </w:tcBorders>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原投资说明书内容</w:t>
            </w:r>
          </w:p>
        </w:tc>
        <w:tc>
          <w:tcPr>
            <w:tcW w:w="4111" w:type="dxa"/>
            <w:tcBorders>
              <w:bottom w:val="single" w:sz="4" w:space="0" w:color="000000"/>
            </w:tcBorders>
            <w:vAlign w:val="center"/>
          </w:tcPr>
          <w:p w:rsidR="003863AF" w:rsidRPr="00486A00" w:rsidRDefault="003863AF" w:rsidP="003863AF">
            <w:pPr>
              <w:jc w:val="center"/>
              <w:rPr>
                <w:rFonts w:ascii="仿宋_GB2312" w:eastAsia="仿宋_GB2312" w:hAnsi="宋体"/>
                <w:sz w:val="24"/>
                <w:szCs w:val="24"/>
              </w:rPr>
            </w:pPr>
            <w:r w:rsidRPr="00486A00">
              <w:rPr>
                <w:rFonts w:ascii="仿宋_GB2312" w:eastAsia="仿宋_GB2312" w:hAnsi="宋体" w:hint="eastAsia"/>
                <w:sz w:val="24"/>
                <w:szCs w:val="24"/>
              </w:rPr>
              <w:t>变更后对应内容</w:t>
            </w:r>
          </w:p>
        </w:tc>
      </w:tr>
      <w:tr w:rsidR="003863AF" w:rsidRPr="003B1A3F" w:rsidTr="00557C65">
        <w:trPr>
          <w:jc w:val="center"/>
        </w:trPr>
        <w:tc>
          <w:tcPr>
            <w:tcW w:w="1271" w:type="dxa"/>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重要提示</w:t>
            </w:r>
          </w:p>
        </w:tc>
        <w:tc>
          <w:tcPr>
            <w:tcW w:w="3260" w:type="dxa"/>
            <w:vAlign w:val="center"/>
          </w:tcPr>
          <w:p w:rsidR="003863AF" w:rsidRPr="00486A00" w:rsidRDefault="003863AF" w:rsidP="00961BDE">
            <w:pPr>
              <w:rPr>
                <w:rFonts w:ascii="仿宋_GB2312" w:eastAsia="仿宋_GB2312"/>
                <w:sz w:val="24"/>
                <w:szCs w:val="24"/>
                <w:shd w:val="clear" w:color="auto" w:fill="FFFFFF"/>
              </w:rPr>
            </w:pPr>
            <w:r w:rsidRPr="00486A00">
              <w:rPr>
                <w:rFonts w:ascii="仿宋_GB2312" w:eastAsia="仿宋_GB2312" w:hint="eastAsia"/>
                <w:sz w:val="24"/>
                <w:szCs w:val="24"/>
                <w:shd w:val="clear" w:color="auto" w:fill="FFFFFF"/>
              </w:rPr>
              <w:t>《企业年金试行办法》（劳动和社会保障部令第20号）</w:t>
            </w:r>
          </w:p>
        </w:tc>
        <w:tc>
          <w:tcPr>
            <w:tcW w:w="4111" w:type="dxa"/>
            <w:vAlign w:val="center"/>
          </w:tcPr>
          <w:p w:rsidR="003863AF" w:rsidRPr="00486A00" w:rsidRDefault="003863AF" w:rsidP="00961BDE">
            <w:pPr>
              <w:rPr>
                <w:rFonts w:ascii="仿宋_GB2312" w:eastAsia="仿宋_GB2312"/>
                <w:sz w:val="24"/>
                <w:szCs w:val="24"/>
                <w:shd w:val="clear" w:color="auto" w:fill="FFFFFF"/>
              </w:rPr>
            </w:pPr>
            <w:r w:rsidRPr="00486A00">
              <w:rPr>
                <w:rFonts w:ascii="仿宋_GB2312" w:eastAsia="仿宋_GB2312" w:hint="eastAsia"/>
                <w:sz w:val="24"/>
                <w:szCs w:val="24"/>
                <w:shd w:val="clear" w:color="auto" w:fill="FFFFFF"/>
              </w:rPr>
              <w:t>《企业年金办法》（人力资源和社会保障部、财政部令第36号）</w:t>
            </w:r>
          </w:p>
        </w:tc>
      </w:tr>
      <w:tr w:rsidR="003863AF" w:rsidRPr="003B1A3F" w:rsidTr="00557C65">
        <w:trPr>
          <w:jc w:val="center"/>
        </w:trPr>
        <w:tc>
          <w:tcPr>
            <w:tcW w:w="1271" w:type="dxa"/>
            <w:vAlign w:val="center"/>
          </w:tcPr>
          <w:p w:rsidR="003863AF" w:rsidRPr="003B1A3F" w:rsidRDefault="003863AF" w:rsidP="003863AF">
            <w:pPr>
              <w:jc w:val="center"/>
              <w:rPr>
                <w:rFonts w:ascii="仿宋_GB2312" w:eastAsia="仿宋_GB2312" w:hAnsi="宋体"/>
                <w:sz w:val="24"/>
                <w:szCs w:val="24"/>
              </w:rPr>
            </w:pPr>
            <w:r w:rsidRPr="003B1A3F">
              <w:rPr>
                <w:rFonts w:ascii="仿宋_GB2312" w:eastAsia="仿宋_GB2312" w:hAnsi="宋体" w:hint="eastAsia"/>
                <w:sz w:val="24"/>
                <w:szCs w:val="24"/>
              </w:rPr>
              <w:t>第二章 养老金</w:t>
            </w:r>
            <w:r w:rsidRPr="003B1A3F">
              <w:rPr>
                <w:rFonts w:ascii="仿宋_GB2312" w:eastAsia="仿宋_GB2312" w:hAnsi="宋体"/>
                <w:sz w:val="24"/>
                <w:szCs w:val="24"/>
              </w:rPr>
              <w:t>产品概况</w:t>
            </w:r>
          </w:p>
        </w:tc>
        <w:tc>
          <w:tcPr>
            <w:tcW w:w="3260" w:type="dxa"/>
          </w:tcPr>
          <w:p w:rsidR="003863AF" w:rsidRPr="003B1A3F" w:rsidRDefault="003863AF" w:rsidP="003863AF">
            <w:pPr>
              <w:rPr>
                <w:rFonts w:ascii="仿宋_GB2312" w:eastAsia="仿宋_GB2312" w:hAnsi="宋体"/>
                <w:bCs/>
                <w:sz w:val="24"/>
                <w:szCs w:val="24"/>
              </w:rPr>
            </w:pPr>
            <w:r w:rsidRPr="003B1A3F">
              <w:rPr>
                <w:rFonts w:ascii="仿宋_GB2312" w:eastAsia="仿宋_GB2312" w:hAnsi="宋体" w:hint="eastAsia"/>
                <w:bCs/>
                <w:sz w:val="24"/>
                <w:szCs w:val="24"/>
              </w:rPr>
              <w:t>投资</w:t>
            </w:r>
            <w:r w:rsidRPr="003B1A3F">
              <w:rPr>
                <w:rFonts w:ascii="仿宋_GB2312" w:eastAsia="仿宋_GB2312" w:hAnsi="宋体"/>
                <w:bCs/>
                <w:sz w:val="24"/>
                <w:szCs w:val="24"/>
              </w:rPr>
              <w:t>目标：</w:t>
            </w:r>
          </w:p>
          <w:p w:rsidR="003863AF" w:rsidRPr="00486A00" w:rsidRDefault="003863AF" w:rsidP="003863AF">
            <w:pPr>
              <w:rPr>
                <w:rFonts w:ascii="仿宋_GB2312" w:eastAsia="仿宋_GB2312" w:hAnsi="宋体"/>
                <w:sz w:val="24"/>
                <w:szCs w:val="24"/>
              </w:rPr>
            </w:pPr>
            <w:r w:rsidRPr="00486A00">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Pr>
          <w:p w:rsidR="003863AF" w:rsidRPr="00486A00" w:rsidRDefault="003863AF" w:rsidP="003863AF">
            <w:pPr>
              <w:rPr>
                <w:rFonts w:ascii="仿宋_GB2312" w:eastAsia="仿宋_GB2312" w:hAnsi="宋体"/>
                <w:sz w:val="24"/>
                <w:szCs w:val="24"/>
              </w:rPr>
            </w:pPr>
            <w:r w:rsidRPr="00486A00">
              <w:rPr>
                <w:rFonts w:ascii="仿宋_GB2312" w:eastAsia="仿宋_GB2312" w:hAnsi="宋体" w:hint="eastAsia"/>
                <w:sz w:val="24"/>
                <w:szCs w:val="24"/>
              </w:rPr>
              <w:t>投资</w:t>
            </w:r>
            <w:r w:rsidRPr="00486A00">
              <w:rPr>
                <w:rFonts w:ascii="仿宋_GB2312" w:eastAsia="仿宋_GB2312" w:hAnsi="宋体"/>
                <w:sz w:val="24"/>
                <w:szCs w:val="24"/>
              </w:rPr>
              <w:t>目标：</w:t>
            </w:r>
          </w:p>
          <w:p w:rsidR="003863AF" w:rsidRPr="00486A00" w:rsidRDefault="003863AF" w:rsidP="003863AF">
            <w:pPr>
              <w:rPr>
                <w:rFonts w:ascii="仿宋_GB2312" w:eastAsia="仿宋_GB2312"/>
                <w:sz w:val="24"/>
                <w:szCs w:val="24"/>
                <w:shd w:val="clear" w:color="auto" w:fill="FFFFFF"/>
              </w:rPr>
            </w:pPr>
            <w:r w:rsidRPr="00486A00">
              <w:rPr>
                <w:rFonts w:ascii="仿宋_GB2312" w:eastAsia="仿宋_GB2312" w:hAnsi="宋体" w:hint="eastAsia"/>
                <w:sz w:val="24"/>
                <w:szCs w:val="24"/>
              </w:rPr>
              <w:t>通过灵活运用多种投资策略，充分挖掘和利用市场中潜在的投资机会，谋求本产品资产的长期、持续增值。</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第二章</w:t>
            </w:r>
            <w:r w:rsidRPr="003B1A3F">
              <w:rPr>
                <w:rFonts w:ascii="仿宋_GB2312" w:eastAsia="仿宋_GB2312" w:hAnsi="宋体"/>
                <w:sz w:val="24"/>
                <w:szCs w:val="24"/>
              </w:rPr>
              <w:t xml:space="preserve"> 养老金产品概况</w:t>
            </w:r>
          </w:p>
        </w:tc>
        <w:tc>
          <w:tcPr>
            <w:tcW w:w="3260" w:type="dxa"/>
            <w:vAlign w:val="center"/>
          </w:tcPr>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投资</w:t>
            </w:r>
            <w:r w:rsidRPr="003B1A3F">
              <w:rPr>
                <w:rFonts w:ascii="仿宋_GB2312" w:eastAsia="仿宋_GB2312" w:hAnsi="宋体"/>
                <w:bCs/>
                <w:sz w:val="24"/>
                <w:szCs w:val="24"/>
              </w:rPr>
              <w:t>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1）资产配置策略：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2）股票投资策略：通过对不同行业深入的基本面研究，根据行业发展现状、公司盈利能力、成长能力等因素构建行业优选股票池。在研究成果基础上进行排查，剔除部分风险过高的股票，进一步精化股票池。</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在股票池中进行多因子选股，每月调仓，并根据不同因子类别和效果赋予不同的权重，组合因子优化整体选股效果。股票因子池每半年重新测试一次，使因子适用于不同的市场环境，同时确保股票组合的整体风险处于可控范围内。</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3）股指期货投资策略：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4）其他投资策略：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5）建仓期策略：根据市场波动性及其走向趋势，采用时间平均法调整建仓节奏，控制建仓成本，同时在组合获利达到既定目标时及时兑现，以实现稳健收益目标。</w:t>
            </w:r>
          </w:p>
        </w:tc>
        <w:tc>
          <w:tcPr>
            <w:tcW w:w="4111" w:type="dxa"/>
            <w:vAlign w:val="center"/>
          </w:tcPr>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投资</w:t>
            </w:r>
            <w:r w:rsidRPr="003B1A3F">
              <w:rPr>
                <w:rFonts w:ascii="仿宋_GB2312" w:eastAsia="仿宋_GB2312" w:hAnsi="宋体"/>
                <w:bCs/>
                <w:sz w:val="24"/>
                <w:szCs w:val="24"/>
              </w:rPr>
              <w:t>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1.资产配置策略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2.股票投资策略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1）个股精选策略：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2）新股申购策略：本产品将研究首次发行（IPO）股票及增发新股的上市公司基本面，根据股票市场整体定价水平，估计新股上市交易的合理价格，同时参考一级市场资金供求关系，制定相应的新股申购策略。本产品对于通过参与新股认购所获得的股票，将根据其市场价格相对于其合理内在价值的高低，确定继续持有或者卖出。</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 xml:space="preserve">3. </w:t>
            </w:r>
            <w:r w:rsidRPr="003B1A3F">
              <w:rPr>
                <w:rFonts w:ascii="仿宋_GB2312" w:eastAsia="仿宋_GB2312" w:hAnsi="宋体" w:hint="eastAsia"/>
                <w:bCs/>
                <w:sz w:val="24"/>
                <w:szCs w:val="24"/>
              </w:rPr>
              <w:t>债券投资策略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本产品将在保持组合低波动性的前提下，运用多种积极管理增值策略，追求稳健回报。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1）久期调整策略：本产品将根据对利率水平的预期，在预期利率下降时，增加组合久期，以较多地获得债券价格上升带来的收益，在预期利率上升时，减小组合久期，以规避债券价格下降的风险。</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2）收益率曲线策略：在久期确定的基础上，根据对收益率曲线形状变化的预测，采用子弹型策略、哑铃型策略或梯形策略，在长期、中期和短期债券间进行配置，以从长、中、短期债券的相对价格变化中获利。</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3）债券类属配置策略：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4）骑乘策略：通过分析收益率曲线各期限段的利差情况，买入收益率曲线最陡峭处所对应的期限债券，随着本产品持有债券时间的延长，债券的剩余期限将缩短，到期收益率将下降，产品从而可获得资本利得收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5）相对价值策略：相对价值策略包括研究国债与金融债之间的信用利差、交易所与银行间的市场利差等。金融债与国债的利差由税收因素形成，利差的大小主要受市场资金供给充裕程度决定，资金供给越充分上述利差将越小。交易所与银行间的联动性随着市场改革势必渐渐加强，两市之间的利差能够提供一些增值机会。</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6）信用利差策略：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7）回购放大策略：该策略在资金相对充裕的情况下是风险较低的投资策略。即在基础组合的基础上，使用基础组合持有的债券进行回购放大融入短期资金滚动操作，同时选择2年以下的交易所和银行间品种进行投资以获取骑乘及短期债券与货币市场利率的利差。</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w:t>
            </w:r>
            <w:r w:rsidRPr="003B1A3F">
              <w:rPr>
                <w:rFonts w:ascii="仿宋_GB2312" w:eastAsia="仿宋_GB2312" w:hAnsi="宋体"/>
                <w:bCs/>
                <w:sz w:val="24"/>
                <w:szCs w:val="24"/>
              </w:rPr>
              <w:t>8）可转债投资策略：可转债不同于一般的企业债券，其投资人具有在一定条件下转股、回售的权利，因此其理论价值等于作为普通债券的基础价值加上可转债内含选择权的价值。本产品投资于可转债，主要目标是降低产品净值的下行风险，产品投资的可转债可以转股，以保留参与股票升值的收益潜力。</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a.积极管理策略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b.一级市场申购策略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目前，可转债均采取定价发行，对于那些发行条款优惠、期权价值较高、公司基本面优良的可转债，因供求不平衡，会产生较大的一、二级市场价差。因此，为增加组合收益，本产品将在充分研究的基础上，参与可转换债券的一级市场申购，在严格控制风险的前提下获得稳定收益。</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bCs/>
                <w:sz w:val="24"/>
                <w:szCs w:val="24"/>
              </w:rPr>
              <w:t xml:space="preserve">4. </w:t>
            </w:r>
            <w:r w:rsidRPr="003B1A3F">
              <w:rPr>
                <w:rFonts w:ascii="仿宋_GB2312" w:eastAsia="仿宋_GB2312" w:hAnsi="宋体" w:hint="eastAsia"/>
                <w:bCs/>
                <w:sz w:val="24"/>
                <w:szCs w:val="24"/>
              </w:rPr>
              <w:t>建仓期策略</w:t>
            </w:r>
          </w:p>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根据市场波动性及其走向趋势，采用时间平均法调整建仓节奏，控制建仓成本，同时在组合获利达到既定目标时及时兑现，以实现稳健收益目标。</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第二章</w:t>
            </w:r>
            <w:r w:rsidRPr="003B1A3F">
              <w:rPr>
                <w:rFonts w:ascii="仿宋_GB2312" w:eastAsia="仿宋_GB2312" w:hAnsi="宋体"/>
                <w:sz w:val="24"/>
                <w:szCs w:val="24"/>
              </w:rPr>
              <w:t xml:space="preserve"> 养老金产品概况</w:t>
            </w:r>
          </w:p>
        </w:tc>
        <w:tc>
          <w:tcPr>
            <w:tcW w:w="3260" w:type="dxa"/>
            <w:vAlign w:val="center"/>
          </w:tcPr>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业绩</w:t>
            </w:r>
            <w:r w:rsidRPr="003B1A3F">
              <w:rPr>
                <w:rFonts w:ascii="仿宋_GB2312" w:eastAsia="仿宋_GB2312" w:hAnsi="宋体"/>
                <w:bCs/>
                <w:sz w:val="24"/>
                <w:szCs w:val="24"/>
              </w:rPr>
              <w:t>比较基准：</w:t>
            </w:r>
          </w:p>
          <w:p w:rsidR="00595F9F" w:rsidRPr="003B1A3F" w:rsidRDefault="00595F9F" w:rsidP="00595F9F">
            <w:pPr>
              <w:rPr>
                <w:rFonts w:ascii="仿宋_GB2312" w:eastAsia="仿宋_GB2312" w:hAnsi="宋体"/>
                <w:bCs/>
                <w:sz w:val="24"/>
                <w:szCs w:val="24"/>
              </w:rPr>
            </w:pPr>
            <w:r w:rsidRPr="00486A00">
              <w:rPr>
                <w:rFonts w:ascii="仿宋_GB2312" w:eastAsia="仿宋_GB2312" w:hAnsi="宋体" w:hint="eastAsia"/>
                <w:sz w:val="24"/>
                <w:szCs w:val="24"/>
              </w:rPr>
              <w:t>同期中国人民银行公布的三年定期存款税后基准利率，并随利率变动实时调整</w:t>
            </w:r>
          </w:p>
        </w:tc>
        <w:tc>
          <w:tcPr>
            <w:tcW w:w="4111" w:type="dxa"/>
            <w:vAlign w:val="center"/>
          </w:tcPr>
          <w:p w:rsidR="00595F9F" w:rsidRPr="003B1A3F" w:rsidRDefault="00595F9F" w:rsidP="00595F9F">
            <w:pPr>
              <w:rPr>
                <w:rFonts w:ascii="仿宋_GB2312" w:eastAsia="仿宋_GB2312" w:hAnsi="宋体"/>
                <w:bCs/>
                <w:sz w:val="24"/>
                <w:szCs w:val="24"/>
              </w:rPr>
            </w:pPr>
            <w:r w:rsidRPr="003B1A3F">
              <w:rPr>
                <w:rFonts w:ascii="仿宋_GB2312" w:eastAsia="仿宋_GB2312" w:hAnsi="宋体" w:hint="eastAsia"/>
                <w:bCs/>
                <w:sz w:val="24"/>
                <w:szCs w:val="24"/>
              </w:rPr>
              <w:t>业绩</w:t>
            </w:r>
            <w:r w:rsidRPr="003B1A3F">
              <w:rPr>
                <w:rFonts w:ascii="仿宋_GB2312" w:eastAsia="仿宋_GB2312" w:hAnsi="宋体"/>
                <w:bCs/>
                <w:sz w:val="24"/>
                <w:szCs w:val="24"/>
              </w:rPr>
              <w:t>比较基准：</w:t>
            </w:r>
          </w:p>
          <w:p w:rsidR="00595F9F" w:rsidRPr="003B1A3F" w:rsidRDefault="003E6110" w:rsidP="00595F9F">
            <w:pPr>
              <w:rPr>
                <w:rFonts w:ascii="仿宋_GB2312" w:eastAsia="仿宋_GB2312" w:hAnsi="宋体"/>
                <w:bCs/>
                <w:sz w:val="24"/>
                <w:szCs w:val="24"/>
              </w:rPr>
            </w:pPr>
            <w:r w:rsidRPr="003B1A3F">
              <w:rPr>
                <w:rFonts w:ascii="仿宋_GB2312" w:eastAsia="仿宋_GB2312" w:hAnsi="宋体" w:hint="eastAsia"/>
                <w:bCs/>
                <w:sz w:val="24"/>
                <w:szCs w:val="24"/>
              </w:rPr>
              <w:t>同期沪深</w:t>
            </w:r>
            <w:r w:rsidRPr="003B1A3F">
              <w:rPr>
                <w:rFonts w:ascii="仿宋_GB2312" w:eastAsia="仿宋_GB2312" w:hAnsi="宋体"/>
                <w:bCs/>
                <w:sz w:val="24"/>
                <w:szCs w:val="24"/>
              </w:rPr>
              <w:t>300指数收益率*95%+同期中国人民银行公布的一年定期存款税后基准利率*5%</w:t>
            </w:r>
          </w:p>
        </w:tc>
      </w:tr>
      <w:tr w:rsidR="003E5DD5" w:rsidRPr="003B1A3F" w:rsidTr="00557C65">
        <w:trPr>
          <w:jc w:val="center"/>
        </w:trPr>
        <w:tc>
          <w:tcPr>
            <w:tcW w:w="1271" w:type="dxa"/>
            <w:vAlign w:val="center"/>
          </w:tcPr>
          <w:p w:rsidR="003E5DD5" w:rsidRPr="003B1A3F" w:rsidRDefault="003E5DD5" w:rsidP="003E5DD5">
            <w:pPr>
              <w:jc w:val="center"/>
              <w:rPr>
                <w:rFonts w:ascii="仿宋_GB2312" w:eastAsia="仿宋_GB2312" w:hAnsi="宋体"/>
                <w:sz w:val="24"/>
                <w:szCs w:val="24"/>
              </w:rPr>
            </w:pPr>
            <w:r>
              <w:rPr>
                <w:rFonts w:ascii="仿宋_GB2312" w:eastAsia="仿宋_GB2312" w:hAnsi="宋体" w:hint="eastAsia"/>
                <w:sz w:val="24"/>
                <w:szCs w:val="24"/>
              </w:rPr>
              <w:t>3.2</w:t>
            </w:r>
          </w:p>
        </w:tc>
        <w:tc>
          <w:tcPr>
            <w:tcW w:w="3260" w:type="dxa"/>
            <w:vAlign w:val="center"/>
          </w:tcPr>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w:t>
            </w:r>
            <w:r w:rsidRPr="00DB1A2E">
              <w:rPr>
                <w:rFonts w:ascii="仿宋_GB2312" w:eastAsia="仿宋_GB2312" w:hAnsi="宋体"/>
                <w:sz w:val="24"/>
                <w:szCs w:val="24"/>
              </w:rPr>
              <w:t>7114</w:t>
            </w:r>
          </w:p>
          <w:p w:rsidR="003E5DD5" w:rsidRPr="003B1A3F" w:rsidRDefault="003E5DD5" w:rsidP="003E5DD5">
            <w:pPr>
              <w:rPr>
                <w:rFonts w:ascii="仿宋_GB2312" w:eastAsia="仿宋_GB2312" w:hAnsi="宋体"/>
                <w:bCs/>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王洪章</w:t>
            </w:r>
          </w:p>
        </w:tc>
        <w:tc>
          <w:tcPr>
            <w:tcW w:w="4111" w:type="dxa"/>
            <w:vAlign w:val="center"/>
          </w:tcPr>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E5DD5" w:rsidRDefault="003E5DD5" w:rsidP="003E5DD5">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010-67595067</w:t>
            </w:r>
          </w:p>
          <w:p w:rsidR="003E5DD5" w:rsidRPr="003B1A3F" w:rsidRDefault="003E5DD5" w:rsidP="003E5DD5">
            <w:pPr>
              <w:rPr>
                <w:rFonts w:ascii="仿宋_GB2312" w:eastAsia="仿宋_GB2312" w:hAnsi="宋体"/>
                <w:bCs/>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田国立</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7.2</w:t>
            </w:r>
          </w:p>
        </w:tc>
        <w:tc>
          <w:tcPr>
            <w:tcW w:w="3260"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投资</w:t>
            </w:r>
            <w:r w:rsidRPr="00486A00">
              <w:rPr>
                <w:rFonts w:ascii="仿宋_GB2312" w:eastAsia="仿宋_GB2312" w:hAnsi="宋体"/>
                <w:bCs/>
                <w:sz w:val="24"/>
                <w:szCs w:val="24"/>
              </w:rPr>
              <w:t>基准</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同期中国人民银行公布的三年定期存款税后基准利率，并随利率变动实时调整</w:t>
            </w:r>
          </w:p>
        </w:tc>
        <w:tc>
          <w:tcPr>
            <w:tcW w:w="4111"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投资基准</w:t>
            </w:r>
          </w:p>
          <w:p w:rsidR="00595F9F" w:rsidRPr="00486A00" w:rsidRDefault="003E6110" w:rsidP="00595F9F">
            <w:pPr>
              <w:rPr>
                <w:rFonts w:ascii="仿宋_GB2312" w:eastAsia="仿宋_GB2312" w:hAnsi="宋体"/>
                <w:bCs/>
                <w:sz w:val="24"/>
                <w:szCs w:val="24"/>
              </w:rPr>
            </w:pPr>
            <w:r w:rsidRPr="00486A00">
              <w:rPr>
                <w:rFonts w:ascii="仿宋_GB2312" w:eastAsia="仿宋_GB2312" w:hAnsi="宋体" w:hint="eastAsia"/>
                <w:bCs/>
                <w:sz w:val="24"/>
                <w:szCs w:val="24"/>
              </w:rPr>
              <w:t>同期沪深</w:t>
            </w:r>
            <w:r w:rsidRPr="00486A00">
              <w:rPr>
                <w:rFonts w:ascii="仿宋_GB2312" w:eastAsia="仿宋_GB2312" w:hAnsi="宋体"/>
                <w:bCs/>
                <w:sz w:val="24"/>
                <w:szCs w:val="24"/>
              </w:rPr>
              <w:t>300指数收益率*95%+同期中国人民银行公布的一年定期存款税后基准利率*5%</w:t>
            </w:r>
            <w:r w:rsidR="00595F9F" w:rsidRPr="00486A00">
              <w:rPr>
                <w:rFonts w:ascii="仿宋_GB2312" w:eastAsia="仿宋_GB2312" w:hAnsi="宋体" w:hint="eastAsia"/>
                <w:bCs/>
                <w:sz w:val="24"/>
                <w:szCs w:val="24"/>
              </w:rPr>
              <w:t>。</w:t>
            </w:r>
          </w:p>
          <w:p w:rsidR="00595F9F" w:rsidRPr="00486A00" w:rsidRDefault="00595F9F" w:rsidP="00595F9F">
            <w:pPr>
              <w:rPr>
                <w:rFonts w:ascii="仿宋_GB2312" w:eastAsia="仿宋_GB2312" w:hAnsi="宋体"/>
                <w:b/>
                <w:bCs/>
                <w:sz w:val="24"/>
                <w:szCs w:val="24"/>
              </w:rPr>
            </w:pP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7.2</w:t>
            </w:r>
          </w:p>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（新增）</w:t>
            </w:r>
          </w:p>
        </w:tc>
        <w:tc>
          <w:tcPr>
            <w:tcW w:w="3260" w:type="dxa"/>
            <w:vAlign w:val="center"/>
          </w:tcPr>
          <w:p w:rsidR="00595F9F" w:rsidRPr="00486A00" w:rsidRDefault="00595F9F" w:rsidP="00595F9F">
            <w:pPr>
              <w:rPr>
                <w:rFonts w:ascii="仿宋_GB2312" w:eastAsia="仿宋_GB2312" w:hAnsi="宋体"/>
                <w:bCs/>
                <w:sz w:val="24"/>
                <w:szCs w:val="24"/>
              </w:rPr>
            </w:pPr>
          </w:p>
        </w:tc>
        <w:tc>
          <w:tcPr>
            <w:tcW w:w="4111"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本合同约定的投资基准仅是评价本产品业绩表现的比较标准，不构成投资管理人、托管人对本产品本金和收益状况的任何承诺或保证。</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7.3</w:t>
            </w:r>
          </w:p>
        </w:tc>
        <w:tc>
          <w:tcPr>
            <w:tcW w:w="3260"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风险收益</w:t>
            </w:r>
            <w:r w:rsidRPr="00486A00">
              <w:rPr>
                <w:rFonts w:ascii="仿宋_GB2312" w:eastAsia="仿宋_GB2312" w:hAnsi="宋体"/>
                <w:bCs/>
                <w:sz w:val="24"/>
                <w:szCs w:val="24"/>
              </w:rPr>
              <w:t>特征</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本产品是股票型养老金产品，风险高于货币型、固定收益型养老金产品，低于普通股票型养老金产品和混合型养老金产品。</w:t>
            </w:r>
          </w:p>
        </w:tc>
        <w:tc>
          <w:tcPr>
            <w:tcW w:w="4111"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风险收益</w:t>
            </w:r>
            <w:r w:rsidRPr="00486A00">
              <w:rPr>
                <w:rFonts w:ascii="仿宋_GB2312" w:eastAsia="仿宋_GB2312" w:hAnsi="宋体"/>
                <w:bCs/>
                <w:sz w:val="24"/>
                <w:szCs w:val="24"/>
              </w:rPr>
              <w:t>特征</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本产品是股票型养老金产品，风险高于货币型、固定收益型、混合型养老金产品，投资风险较高，投资者需承担较高的短期波动风险。</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7.4.5</w:t>
            </w:r>
          </w:p>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（新增）</w:t>
            </w:r>
          </w:p>
        </w:tc>
        <w:tc>
          <w:tcPr>
            <w:tcW w:w="3260" w:type="dxa"/>
            <w:vAlign w:val="center"/>
          </w:tcPr>
          <w:p w:rsidR="00595F9F" w:rsidRPr="00486A00" w:rsidRDefault="00595F9F" w:rsidP="00595F9F">
            <w:pPr>
              <w:rPr>
                <w:rFonts w:ascii="仿宋_GB2312" w:eastAsia="仿宋_GB2312" w:hAnsi="宋体"/>
                <w:bCs/>
                <w:sz w:val="24"/>
                <w:szCs w:val="24"/>
              </w:rPr>
            </w:pPr>
          </w:p>
        </w:tc>
        <w:tc>
          <w:tcPr>
            <w:tcW w:w="4111"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投资管理人可以在本合同约定的投资范围内，运用本养老金产品资产投资于本产品投资人、投资管理人、托管人及其关联方发行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595F9F" w:rsidRPr="003B1A3F" w:rsidTr="00557C65">
        <w:trPr>
          <w:jc w:val="center"/>
        </w:trPr>
        <w:tc>
          <w:tcPr>
            <w:tcW w:w="1271" w:type="dxa"/>
            <w:vAlign w:val="center"/>
          </w:tcPr>
          <w:p w:rsidR="00595F9F" w:rsidRPr="003B1A3F" w:rsidRDefault="00595F9F" w:rsidP="00595F9F">
            <w:pPr>
              <w:jc w:val="center"/>
              <w:rPr>
                <w:rFonts w:ascii="仿宋_GB2312" w:eastAsia="仿宋_GB2312" w:hAnsi="宋体"/>
                <w:sz w:val="24"/>
                <w:szCs w:val="24"/>
              </w:rPr>
            </w:pPr>
            <w:r w:rsidRPr="003B1A3F">
              <w:rPr>
                <w:rFonts w:ascii="仿宋_GB2312" w:eastAsia="仿宋_GB2312" w:hAnsi="宋体" w:hint="eastAsia"/>
                <w:sz w:val="24"/>
                <w:szCs w:val="24"/>
              </w:rPr>
              <w:t>7.5</w:t>
            </w:r>
          </w:p>
        </w:tc>
        <w:tc>
          <w:tcPr>
            <w:tcW w:w="3260"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7.5.1  </w:t>
            </w:r>
            <w:r w:rsidRPr="00486A00">
              <w:rPr>
                <w:rFonts w:ascii="仿宋_GB2312" w:eastAsia="仿宋_GB2312" w:hAnsi="宋体" w:hint="eastAsia"/>
                <w:bCs/>
                <w:sz w:val="24"/>
                <w:szCs w:val="24"/>
              </w:rPr>
              <w:t>资产配置策略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7.5.2  </w:t>
            </w:r>
            <w:r w:rsidRPr="00486A00">
              <w:rPr>
                <w:rFonts w:ascii="仿宋_GB2312" w:eastAsia="仿宋_GB2312" w:hAnsi="宋体" w:hint="eastAsia"/>
                <w:bCs/>
                <w:sz w:val="24"/>
                <w:szCs w:val="24"/>
              </w:rPr>
              <w:t>股票投资策略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通过对不同行业深入的基本面研究，根据行业发展现状、公司盈利能力、成长能力等因素构建行业优选股票池。在研究成果基础上进行排查，剔除部分风险过高的股票，进一步精化股票池。</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在股票池中进行多因子选股，每月调仓，并根据不同因子类别和效果赋予不同的权重，组合因子优化整体选股效果。股票因子池每半年重新测试一次，使因子适用于不同的市场环境，同时确保股票组合的整体风险处于可控范围内。</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  </w:t>
            </w:r>
            <w:r w:rsidRPr="00486A00">
              <w:rPr>
                <w:rFonts w:ascii="仿宋_GB2312" w:eastAsia="仿宋_GB2312" w:hAnsi="宋体" w:hint="eastAsia"/>
                <w:bCs/>
                <w:sz w:val="24"/>
                <w:szCs w:val="24"/>
              </w:rPr>
              <w:t>股指期货投资策略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7.5.4其他投资策略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7.5.5 </w:t>
            </w:r>
            <w:r w:rsidRPr="00486A00">
              <w:rPr>
                <w:rFonts w:ascii="仿宋_GB2312" w:eastAsia="仿宋_GB2312" w:hAnsi="宋体" w:hint="eastAsia"/>
                <w:bCs/>
                <w:sz w:val="24"/>
                <w:szCs w:val="24"/>
              </w:rPr>
              <w:t>建仓期策略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本产品将根据市场波动性及其走向趋势，采用时间平均法调整建仓节奏，控制建仓成本，同时在组合获利达到既定目标时及时兑现，以实现稳健收益目标。</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c>
          <w:tcPr>
            <w:tcW w:w="4111" w:type="dxa"/>
            <w:vAlign w:val="center"/>
          </w:tcPr>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7.5.1  </w:t>
            </w:r>
            <w:r w:rsidRPr="00486A00">
              <w:rPr>
                <w:rFonts w:ascii="仿宋_GB2312" w:eastAsia="仿宋_GB2312" w:hAnsi="宋体" w:hint="eastAsia"/>
                <w:bCs/>
                <w:sz w:val="24"/>
                <w:szCs w:val="24"/>
              </w:rPr>
              <w:t>资产配置策略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7.5.2  </w:t>
            </w:r>
            <w:r w:rsidRPr="00486A00">
              <w:rPr>
                <w:rFonts w:ascii="仿宋_GB2312" w:eastAsia="仿宋_GB2312" w:hAnsi="宋体" w:hint="eastAsia"/>
                <w:bCs/>
                <w:sz w:val="24"/>
                <w:szCs w:val="24"/>
              </w:rPr>
              <w:t>股票投资策略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7.5.2.1  </w:t>
            </w:r>
            <w:r w:rsidRPr="00486A00">
              <w:rPr>
                <w:rFonts w:ascii="仿宋_GB2312" w:eastAsia="仿宋_GB2312" w:hAnsi="宋体" w:hint="eastAsia"/>
                <w:bCs/>
                <w:sz w:val="24"/>
                <w:szCs w:val="24"/>
              </w:rPr>
              <w:t>个股精选策略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7.5.2.2  </w:t>
            </w:r>
            <w:r w:rsidRPr="00486A00">
              <w:rPr>
                <w:rFonts w:ascii="仿宋_GB2312" w:eastAsia="仿宋_GB2312" w:hAnsi="宋体" w:hint="eastAsia"/>
                <w:bCs/>
                <w:sz w:val="24"/>
                <w:szCs w:val="24"/>
              </w:rPr>
              <w:t>新股申购策略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本产品将研究首次发行（</w:t>
            </w:r>
            <w:r w:rsidRPr="00486A00">
              <w:rPr>
                <w:rFonts w:ascii="仿宋_GB2312" w:eastAsia="仿宋_GB2312" w:hAnsi="宋体"/>
                <w:bCs/>
                <w:sz w:val="24"/>
                <w:szCs w:val="24"/>
              </w:rPr>
              <w:t>IPO）股票及增发新股的上市公司基本面，根据股票市场整体定价水平，估计新股上市交易的合理价格，同时参考一级市场资金供求关系，制定相应的新股申购策略。本产品对于通过参与新股认购所获得的股票，将根据其市场价格相对于其合理内在价值的高低，确定继续持有或者卖出。</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  </w:t>
            </w:r>
            <w:r w:rsidRPr="00486A00">
              <w:rPr>
                <w:rFonts w:ascii="仿宋_GB2312" w:eastAsia="仿宋_GB2312" w:hAnsi="宋体" w:hint="eastAsia"/>
                <w:bCs/>
                <w:sz w:val="24"/>
                <w:szCs w:val="24"/>
              </w:rPr>
              <w:t>债券投资策略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本产品将在保持组合低波动性的前提下，运用多种积极管理增值策略，追求稳健回报。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7.5.3.1  </w:t>
            </w:r>
            <w:r w:rsidRPr="00486A00">
              <w:rPr>
                <w:rFonts w:ascii="仿宋_GB2312" w:eastAsia="仿宋_GB2312" w:hAnsi="宋体" w:hint="eastAsia"/>
                <w:bCs/>
                <w:sz w:val="24"/>
                <w:szCs w:val="24"/>
              </w:rPr>
              <w:t>久期调整策略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本产品将根据对利率水平的预期，在预期利率下降时，增加组合久期，以较多地获得债券价格上升带来的收益，在预期利率上升时，减小组合久期，以规避债券价格下降的风险。</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7.5.3.2  </w:t>
            </w:r>
            <w:r w:rsidRPr="00486A00">
              <w:rPr>
                <w:rFonts w:ascii="仿宋_GB2312" w:eastAsia="仿宋_GB2312" w:hAnsi="宋体" w:hint="eastAsia"/>
                <w:bCs/>
                <w:sz w:val="24"/>
                <w:szCs w:val="24"/>
              </w:rPr>
              <w:t>收益率曲线策略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在久期确定的基础上，根据对收益率曲线形状变化的预测，采用子弹型策略、哑铃型策略或梯形策略，在长期、中期和短期债券间进行配置，以从长、中、短期债券的相对价格变化中获利。</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7.5.3.3  </w:t>
            </w:r>
            <w:r w:rsidRPr="00486A00">
              <w:rPr>
                <w:rFonts w:ascii="仿宋_GB2312" w:eastAsia="仿宋_GB2312" w:hAnsi="宋体" w:hint="eastAsia"/>
                <w:bCs/>
                <w:sz w:val="24"/>
                <w:szCs w:val="24"/>
              </w:rPr>
              <w:t>债券类属配置策略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7.5.3.4  </w:t>
            </w:r>
            <w:r w:rsidRPr="00486A00">
              <w:rPr>
                <w:rFonts w:ascii="仿宋_GB2312" w:eastAsia="仿宋_GB2312" w:hAnsi="宋体" w:hint="eastAsia"/>
                <w:bCs/>
                <w:sz w:val="24"/>
                <w:szCs w:val="24"/>
              </w:rPr>
              <w:t>骑乘策略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通过分析收益率曲线各期限段的利差情况，买入收益率曲线最陡峭处所对应的期限债券，随着本产品持有债券时间的延长，债券的剩余期限将缩短，到期收益率将下降，产品从而可获得资本利得收入。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7.5.3.5  </w:t>
            </w:r>
            <w:r w:rsidRPr="00486A00">
              <w:rPr>
                <w:rFonts w:ascii="仿宋_GB2312" w:eastAsia="仿宋_GB2312" w:hAnsi="宋体" w:hint="eastAsia"/>
                <w:bCs/>
                <w:sz w:val="24"/>
                <w:szCs w:val="24"/>
              </w:rPr>
              <w:t>相对价值策略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相对价值策略包括研究国债与金融债之间的信用利差、交易所与银行间的市场利差等。金融债与国债的利差由税收因素形成，利差的大小主要受市场资金供给充裕程度决定，资金供给越充分上述利差将越小。交易所与银行间的联动性随着市场改革势必渐渐加强，两市之间的利差能够提供一些增值机会。</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7.5.3.6  </w:t>
            </w:r>
            <w:r w:rsidRPr="00486A00">
              <w:rPr>
                <w:rFonts w:ascii="仿宋_GB2312" w:eastAsia="仿宋_GB2312" w:hAnsi="宋体" w:hint="eastAsia"/>
                <w:bCs/>
                <w:sz w:val="24"/>
                <w:szCs w:val="24"/>
              </w:rPr>
              <w:t>信用利差策略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7.5.3.7  </w:t>
            </w:r>
            <w:r w:rsidRPr="00486A00">
              <w:rPr>
                <w:rFonts w:ascii="仿宋_GB2312" w:eastAsia="仿宋_GB2312" w:hAnsi="宋体" w:hint="eastAsia"/>
                <w:bCs/>
                <w:sz w:val="24"/>
                <w:szCs w:val="24"/>
              </w:rPr>
              <w:t>回购放大策略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该策略在资金相对充裕的情况下是风险较低的投资策略。即在基础组合的基础上，使用基础组合持有的债券进行回购放大融入短期资金滚动操作，同时选择</w:t>
            </w:r>
            <w:r w:rsidRPr="00486A00">
              <w:rPr>
                <w:rFonts w:ascii="仿宋_GB2312" w:eastAsia="仿宋_GB2312" w:hAnsi="宋体"/>
                <w:bCs/>
                <w:sz w:val="24"/>
                <w:szCs w:val="24"/>
              </w:rPr>
              <w:t>2年以下的交易所和银行间品种进行投资以获取骑乘及短期债券与货币市场利率的利差。</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7.5.3.8  </w:t>
            </w:r>
            <w:r w:rsidRPr="00486A00">
              <w:rPr>
                <w:rFonts w:ascii="仿宋_GB2312" w:eastAsia="仿宋_GB2312" w:hAnsi="宋体" w:hint="eastAsia"/>
                <w:bCs/>
                <w:sz w:val="24"/>
                <w:szCs w:val="24"/>
              </w:rPr>
              <w:t>可转债投资策略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可转债不同于一般的企业债券，其投资人具有在一定条件下转股、回售的权利，因此其理论价值等于作为普通债券的基础价值加上可转债内含选择权的价值。本产品投资于可转债，主要目标是降低产品净值的下行风险，产品投资的可转债可以转股，以保留参与股票升值的收益潜力。</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a.积极管理策略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b.一级市场申购策略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目前，可转债均采取定价发行，对于那些发行条款优惠、期权价值较高、公司基本面优良的可转债，因供求不平衡，会产生较大的一、二级市场价差。因此，为增加组合收益，本产品将在充分研究的基础上，参与可转换债券的一级市场申购，在严格控制风险的前提下获得稳定收益。</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bCs/>
                <w:sz w:val="24"/>
                <w:szCs w:val="24"/>
              </w:rPr>
              <w:t xml:space="preserve">7.5.4 </w:t>
            </w:r>
            <w:r w:rsidRPr="00486A00">
              <w:rPr>
                <w:rFonts w:ascii="仿宋_GB2312" w:eastAsia="仿宋_GB2312" w:hAnsi="宋体" w:hint="eastAsia"/>
                <w:bCs/>
                <w:sz w:val="24"/>
                <w:szCs w:val="24"/>
              </w:rPr>
              <w:t>建仓期策略</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本产品将根据市场波动性及其走向趋势，采用时间平均法调整建仓节奏，控制建仓成本，同时在组合获利达到既定目标时及时兑现，以实现稳健收益目标。</w:t>
            </w:r>
          </w:p>
          <w:p w:rsidR="00595F9F" w:rsidRPr="00486A00" w:rsidRDefault="00595F9F" w:rsidP="00595F9F">
            <w:pPr>
              <w:rPr>
                <w:rFonts w:ascii="仿宋_GB2312" w:eastAsia="仿宋_GB2312" w:hAnsi="宋体"/>
                <w:bCs/>
                <w:sz w:val="24"/>
                <w:szCs w:val="24"/>
              </w:rPr>
            </w:pPr>
            <w:r w:rsidRPr="00486A00">
              <w:rPr>
                <w:rFonts w:ascii="仿宋_GB2312" w:eastAsia="仿宋_GB2312" w:hAnsi="宋体" w:hint="eastAsia"/>
                <w:bCs/>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r>
      <w:tr w:rsidR="00DE486F" w:rsidRPr="003B1A3F" w:rsidTr="00557C65">
        <w:trPr>
          <w:jc w:val="center"/>
        </w:trPr>
        <w:tc>
          <w:tcPr>
            <w:tcW w:w="1271" w:type="dxa"/>
            <w:vAlign w:val="center"/>
          </w:tcPr>
          <w:p w:rsidR="00DE486F" w:rsidRPr="003B1A3F" w:rsidRDefault="00DE486F" w:rsidP="00DE486F">
            <w:pPr>
              <w:jc w:val="center"/>
              <w:rPr>
                <w:rFonts w:ascii="仿宋_GB2312" w:eastAsia="仿宋_GB2312" w:hAnsi="宋体"/>
                <w:sz w:val="24"/>
                <w:szCs w:val="24"/>
              </w:rPr>
            </w:pPr>
            <w:r w:rsidRPr="003B1A3F">
              <w:rPr>
                <w:rFonts w:ascii="仿宋_GB2312" w:eastAsia="仿宋_GB2312" w:hAnsi="宋体" w:hint="eastAsia"/>
                <w:sz w:val="24"/>
                <w:szCs w:val="24"/>
              </w:rPr>
              <w:t>13.4</w:t>
            </w:r>
          </w:p>
        </w:tc>
        <w:tc>
          <w:tcPr>
            <w:tcW w:w="3260" w:type="dxa"/>
            <w:vAlign w:val="center"/>
          </w:tcPr>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季度报告应在每个季度结束之日起</w:t>
            </w:r>
            <w:r w:rsidRPr="00486A00">
              <w:rPr>
                <w:rFonts w:ascii="仿宋_GB2312" w:eastAsia="仿宋_GB2312" w:hAnsi="宋体"/>
                <w:bCs/>
                <w:sz w:val="24"/>
                <w:szCs w:val="24"/>
              </w:rPr>
              <w:t>15日内编制完毕；年度报告在年度披露依据监管机构要求完成编制及披露。养老金产品定期报告格式及内容以人力资源和社会保障部规定为准。</w:t>
            </w:r>
          </w:p>
        </w:tc>
        <w:tc>
          <w:tcPr>
            <w:tcW w:w="4111" w:type="dxa"/>
            <w:vAlign w:val="center"/>
          </w:tcPr>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季度报告应在每个季度结束之日起</w:t>
            </w:r>
            <w:r w:rsidRPr="00486A00">
              <w:rPr>
                <w:rFonts w:ascii="仿宋_GB2312" w:eastAsia="仿宋_GB2312" w:hAnsi="宋体"/>
                <w:bCs/>
                <w:sz w:val="24"/>
                <w:szCs w:val="24"/>
              </w:rPr>
              <w:t>15日内编制完毕；年度报告应于年度结束后15个工作日内依据监管机构要求完成编制及披露。上述定期报告格式及内容以人力资源和社会保障部规定为准，提交时限如遇法定节假日可适当顺延。</w:t>
            </w:r>
          </w:p>
        </w:tc>
      </w:tr>
      <w:tr w:rsidR="00DE486F" w:rsidRPr="003B1A3F" w:rsidTr="00557C65">
        <w:trPr>
          <w:jc w:val="center"/>
        </w:trPr>
        <w:tc>
          <w:tcPr>
            <w:tcW w:w="1271" w:type="dxa"/>
            <w:vAlign w:val="center"/>
          </w:tcPr>
          <w:p w:rsidR="00DE486F" w:rsidRPr="003B1A3F" w:rsidRDefault="00DE486F" w:rsidP="00DE486F">
            <w:pPr>
              <w:jc w:val="center"/>
              <w:rPr>
                <w:rFonts w:ascii="仿宋_GB2312" w:eastAsia="仿宋_GB2312" w:hAnsi="宋体"/>
                <w:sz w:val="24"/>
                <w:szCs w:val="24"/>
              </w:rPr>
            </w:pPr>
            <w:r w:rsidRPr="003B1A3F">
              <w:rPr>
                <w:rFonts w:ascii="仿宋_GB2312" w:eastAsia="仿宋_GB2312" w:hAnsi="宋体" w:hint="eastAsia"/>
                <w:sz w:val="24"/>
                <w:szCs w:val="24"/>
              </w:rPr>
              <w:t>14.2</w:t>
            </w:r>
          </w:p>
          <w:p w:rsidR="00DE486F" w:rsidRPr="003B1A3F" w:rsidRDefault="00DE486F" w:rsidP="00DE486F">
            <w:pPr>
              <w:jc w:val="center"/>
              <w:rPr>
                <w:rFonts w:ascii="仿宋_GB2312" w:eastAsia="仿宋_GB2312" w:hAnsi="宋体"/>
                <w:sz w:val="24"/>
                <w:szCs w:val="24"/>
              </w:rPr>
            </w:pPr>
            <w:r w:rsidRPr="003B1A3F">
              <w:rPr>
                <w:rFonts w:ascii="仿宋_GB2312" w:eastAsia="仿宋_GB2312" w:hAnsi="宋体"/>
                <w:sz w:val="24"/>
                <w:szCs w:val="24"/>
              </w:rPr>
              <w:t>3</w:t>
            </w:r>
            <w:r w:rsidRPr="003B1A3F">
              <w:rPr>
                <w:rFonts w:ascii="仿宋_GB2312" w:eastAsia="仿宋_GB2312" w:hAnsi="宋体" w:hint="eastAsia"/>
                <w:sz w:val="24"/>
                <w:szCs w:val="24"/>
              </w:rPr>
              <w:t>、</w:t>
            </w:r>
            <w:r w:rsidRPr="003B1A3F">
              <w:rPr>
                <w:rFonts w:ascii="仿宋_GB2312" w:eastAsia="仿宋_GB2312" w:hAnsi="宋体"/>
                <w:sz w:val="24"/>
                <w:szCs w:val="24"/>
              </w:rPr>
              <w:t>积极管理风险</w:t>
            </w:r>
          </w:p>
          <w:p w:rsidR="00DE486F" w:rsidRPr="003B1A3F" w:rsidRDefault="00DE486F" w:rsidP="00DE486F">
            <w:pPr>
              <w:jc w:val="center"/>
              <w:rPr>
                <w:rFonts w:ascii="仿宋_GB2312" w:eastAsia="仿宋_GB2312" w:hAnsi="宋体"/>
                <w:sz w:val="24"/>
                <w:szCs w:val="24"/>
              </w:rPr>
            </w:pPr>
            <w:r w:rsidRPr="003B1A3F">
              <w:rPr>
                <w:rFonts w:ascii="仿宋_GB2312" w:eastAsia="仿宋_GB2312" w:hAnsi="宋体" w:hint="eastAsia"/>
                <w:sz w:val="24"/>
                <w:szCs w:val="24"/>
              </w:rPr>
              <w:t>（删除）</w:t>
            </w:r>
          </w:p>
        </w:tc>
        <w:tc>
          <w:tcPr>
            <w:tcW w:w="3260" w:type="dxa"/>
            <w:vAlign w:val="center"/>
          </w:tcPr>
          <w:p w:rsidR="00DE486F" w:rsidRPr="00486A00" w:rsidRDefault="00DE486F" w:rsidP="00DE486F">
            <w:pPr>
              <w:rPr>
                <w:rFonts w:ascii="仿宋_GB2312" w:eastAsia="仿宋_GB2312" w:hAnsi="宋体"/>
                <w:bCs/>
                <w:sz w:val="24"/>
                <w:szCs w:val="24"/>
              </w:rPr>
            </w:pPr>
            <w:r w:rsidRPr="00486A00">
              <w:rPr>
                <w:rFonts w:ascii="仿宋_GB2312" w:eastAsia="仿宋_GB2312" w:hAnsi="宋体"/>
                <w:bCs/>
                <w:sz w:val="24"/>
                <w:szCs w:val="24"/>
              </w:rPr>
              <w:t xml:space="preserve">a.市场中性策略的风格风险 </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追求绝对收益的市场中性策略产品与普通股票型、混合型养老金产品不同。普通股票型、混合型养老金产品大多和股票市场、债券市场保持相对较高的相关性，而市场中策略产品通过卖空股指期货对冲系统性风险，其预期收益和预期风险与股票市场表现的相关性较低，主要取决于其投资策略的有效性。</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在股市上涨行情，市场性策略产品由于其所持有的股指期货空头头寸，其表现可能会低于不采用对冲策略的普通股票型和混合养老金产品的收益水平。这种表现是市场中性策略产品特有的投资策略——采用持续对冲策略所引发的结果，并不表明着投资管理人投资水平低于市场平均水平。</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bCs/>
                <w:sz w:val="24"/>
                <w:szCs w:val="24"/>
              </w:rPr>
              <w:t>b.投资策略有效性风险</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本产品的投资策略包括指数增强和对冲两部分，具体通过构建现货组合同时卖空股指期货合约以对冲市场系统性风险，力求获得指数增强现货组合超越股指期货合约表现的超额收益。若本产品投资策略有效，将获得正的超额收益，产品份额净值上涨。若本产品的投资策略无效，将获得负的超额收益，产品的份额净值下跌。极端情况若本产品的投资策略无效，本产品持有的现货组合下跌，同时卖空股期约上涨，可能在股票市场和期货市场同时承受损失，产品的份额净值将下跌。</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bCs/>
                <w:sz w:val="24"/>
                <w:szCs w:val="24"/>
              </w:rPr>
              <w:t>c.量化模型及金融数据的风险</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本产品应用量化模型和外部提供商的金融数据协助进行选股。由于量化模型是基于过往投资实践的知识开发的，面对不断变换市场环境和不断完善的理论方法，模型的部分具体设定依赖于过往经验认知，参数假设的变动可能影响模型的整体效果稳定性，模型效果的验证性依赖于历史数据，在实际运作过程中可能会因为市场环境的变化，影响靠模型构建的投资组合达到其预期的投资效果。</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本产品通过采集金融数据、数量化地分析股票及提供投资建议。数据通常来自不同的数据提供商，且在进行数据清洗、加工后作为量化模型的输入变量。采集到的原始金融数据的错误或不完整、预处理过程中的缺陷都可能直接影响量化模型的输出结果，形成数据风险，对产品的业绩产生不利的影响。</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bCs/>
                <w:sz w:val="24"/>
                <w:szCs w:val="24"/>
              </w:rPr>
              <w:t>d.股指期货特有的风险</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基差风险：在利用股指期货对冲市场系统风险时，养老金产品的资产可能因为股指期货合约与标的指数价格变动方向不一致而承担基差风险。因存在基差风险，在股指期货合约展期操作时，养老金产品的资产可能因股指期货合约之间价差的异常变动而遭受展期风险。</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股指期货展期时的流动性风险：本养老金产品持有的股指期货头寸需要进行展期操作，平仓持有的股指期货合约，换成其它月份股指期货合约，当股指期货市场流动性不佳、交易量不足时，将会导致展期操作执行难度提高、交易成本增加，从而可能对养老金产品的资产造成不利的影响。</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期货盯市结算制度带来的现金管理风险：股指期货采取保证金交易制度，保证金账户实行当日无负债结算制度，资金管理要求高。当市场持续向不利方向波动导致期货保证金不足，如果未能在规定的时间内补足保证金，按规定将被强制平仓，可能给养老金产品的资产带来超出预期的损失。</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到期日风险：股指期货合约到期时，本养老金产品的账户如仍持有未平仓合约，交易所将按照交割结算价将账户持有的合约进行现金交割，因此无法继续持有到期合约，具有到期日风险。</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对手方风险：投资管理人运用养老金产品的资产投资于股指期货时，会尽力选择资信状况优良、风险控制能力强的期货公司作为经纪商，但不能杜绝在极端情况下，所选择的期货公司在交易过程中存在违法、违规经营行为或破产清算导致养老金产品的资产遭受损失。</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连带风险：为养老金产品的资产进行结算的结算会员或该结算会员下的其他投资者出现保证金不足、又未能在规定的时间内补足，或因其他原因导致中金所对该结算会员下的经纪账户强行平仓时，养老金产品的资产可能因被连带强行平仓而遭受损失。</w:t>
            </w:r>
          </w:p>
          <w:p w:rsidR="00DE486F" w:rsidRPr="00486A00" w:rsidRDefault="00DE486F" w:rsidP="00DE486F">
            <w:pPr>
              <w:rPr>
                <w:rFonts w:ascii="仿宋_GB2312" w:eastAsia="仿宋_GB2312" w:hAnsi="宋体"/>
                <w:bCs/>
                <w:sz w:val="24"/>
                <w:szCs w:val="24"/>
              </w:rPr>
            </w:pPr>
            <w:r w:rsidRPr="00486A00">
              <w:rPr>
                <w:rFonts w:ascii="仿宋_GB2312" w:eastAsia="仿宋_GB2312" w:hAnsi="宋体" w:hint="eastAsia"/>
                <w:bCs/>
                <w:sz w:val="24"/>
                <w:szCs w:val="24"/>
              </w:rPr>
              <w:t>未平仓合约不能继续持有风险：由于国家法律、法规、政策的变化、中金所交易规则的修改、紧急措施的出台等原因，养老金产品的资产持有的未平仓合约可能无法继续持有，养老金产品的资产必须承担由此导致的损失。</w:t>
            </w:r>
          </w:p>
        </w:tc>
        <w:tc>
          <w:tcPr>
            <w:tcW w:w="4111" w:type="dxa"/>
            <w:vAlign w:val="center"/>
          </w:tcPr>
          <w:p w:rsidR="00DE486F" w:rsidRPr="00486A00" w:rsidRDefault="00DE486F" w:rsidP="00DE486F">
            <w:pPr>
              <w:rPr>
                <w:rFonts w:ascii="仿宋_GB2312" w:eastAsia="仿宋_GB2312" w:hAnsi="宋体"/>
                <w:bCs/>
                <w:sz w:val="24"/>
                <w:szCs w:val="24"/>
              </w:rPr>
            </w:pPr>
          </w:p>
        </w:tc>
      </w:tr>
      <w:tr w:rsidR="006956F9" w:rsidRPr="003B1A3F" w:rsidTr="00557C65">
        <w:trPr>
          <w:jc w:val="center"/>
        </w:trPr>
        <w:tc>
          <w:tcPr>
            <w:tcW w:w="1271" w:type="dxa"/>
            <w:vAlign w:val="center"/>
          </w:tcPr>
          <w:p w:rsidR="006956F9" w:rsidRPr="003B1A3F" w:rsidRDefault="006956F9" w:rsidP="00DE486F">
            <w:pPr>
              <w:jc w:val="center"/>
              <w:rPr>
                <w:rFonts w:ascii="仿宋_GB2312" w:eastAsia="仿宋_GB2312" w:hAnsi="宋体"/>
                <w:sz w:val="24"/>
                <w:szCs w:val="24"/>
              </w:rPr>
            </w:pPr>
            <w:r w:rsidRPr="003B1A3F">
              <w:rPr>
                <w:rFonts w:ascii="仿宋_GB2312" w:eastAsia="仿宋_GB2312" w:hAnsi="宋体" w:hint="eastAsia"/>
                <w:sz w:val="24"/>
                <w:szCs w:val="24"/>
              </w:rPr>
              <w:t>15.3</w:t>
            </w:r>
          </w:p>
        </w:tc>
        <w:tc>
          <w:tcPr>
            <w:tcW w:w="3260" w:type="dxa"/>
            <w:vAlign w:val="center"/>
          </w:tcPr>
          <w:p w:rsidR="006956F9" w:rsidRPr="00486A00" w:rsidRDefault="006956F9" w:rsidP="006956F9">
            <w:pPr>
              <w:rPr>
                <w:rFonts w:ascii="仿宋_GB2312" w:eastAsia="仿宋_GB2312" w:hAnsi="宋体"/>
                <w:bCs/>
                <w:sz w:val="24"/>
                <w:szCs w:val="24"/>
              </w:rPr>
            </w:pPr>
            <w:r w:rsidRPr="00486A00">
              <w:rPr>
                <w:rFonts w:ascii="仿宋_GB2312" w:eastAsia="仿宋_GB2312" w:hAnsi="宋体" w:hint="eastAsia"/>
                <w:bCs/>
                <w:sz w:val="24"/>
                <w:szCs w:val="24"/>
              </w:rPr>
              <w:t>投资管理合同及养老金产品的变更。</w:t>
            </w:r>
          </w:p>
          <w:p w:rsidR="006956F9" w:rsidRPr="00486A00" w:rsidRDefault="006956F9" w:rsidP="006956F9">
            <w:pPr>
              <w:rPr>
                <w:rFonts w:ascii="仿宋_GB2312" w:eastAsia="仿宋_GB2312" w:hAnsi="宋体"/>
                <w:bCs/>
                <w:sz w:val="24"/>
                <w:szCs w:val="24"/>
              </w:rPr>
            </w:pPr>
            <w:r w:rsidRPr="00486A00">
              <w:rPr>
                <w:rFonts w:ascii="仿宋_GB2312" w:eastAsia="仿宋_GB2312" w:hAnsi="宋体" w:hint="eastAsia"/>
                <w:bCs/>
                <w:sz w:val="24"/>
                <w:szCs w:val="24"/>
              </w:rPr>
              <w:t>投资管理合同生效后，如需变更，须经投资管理人与托管人协商一致并达成书面协议。</w:t>
            </w:r>
          </w:p>
        </w:tc>
        <w:tc>
          <w:tcPr>
            <w:tcW w:w="4111" w:type="dxa"/>
            <w:vAlign w:val="center"/>
          </w:tcPr>
          <w:p w:rsidR="006956F9" w:rsidRPr="00486A00" w:rsidRDefault="006956F9" w:rsidP="006956F9">
            <w:pPr>
              <w:rPr>
                <w:rFonts w:ascii="仿宋_GB2312" w:eastAsia="仿宋_GB2312" w:hAnsi="宋体"/>
                <w:bCs/>
                <w:sz w:val="24"/>
                <w:szCs w:val="24"/>
              </w:rPr>
            </w:pPr>
            <w:r w:rsidRPr="00486A00">
              <w:rPr>
                <w:rFonts w:ascii="仿宋_GB2312" w:eastAsia="仿宋_GB2312" w:hAnsi="宋体" w:hint="eastAsia"/>
                <w:bCs/>
                <w:sz w:val="24"/>
                <w:szCs w:val="24"/>
              </w:rPr>
              <w:t>投资管理合同及养老金产品的变更。</w:t>
            </w:r>
          </w:p>
          <w:p w:rsidR="006956F9" w:rsidRPr="00486A00" w:rsidRDefault="006956F9" w:rsidP="006956F9">
            <w:pPr>
              <w:rPr>
                <w:rFonts w:ascii="仿宋_GB2312" w:eastAsia="仿宋_GB2312" w:hAnsi="宋体"/>
                <w:bCs/>
                <w:sz w:val="24"/>
                <w:szCs w:val="24"/>
              </w:rPr>
            </w:pPr>
            <w:r w:rsidRPr="00486A00">
              <w:rPr>
                <w:rFonts w:ascii="仿宋_GB2312" w:eastAsia="仿宋_GB2312" w:hAnsi="宋体" w:hint="eastAsia"/>
                <w:bCs/>
                <w:sz w:val="24"/>
                <w:szCs w:val="24"/>
              </w:rPr>
              <w:t>投资管理合同生效后，如需变更，须经投资管理人与托管人协商一致。</w:t>
            </w:r>
          </w:p>
        </w:tc>
      </w:tr>
      <w:bookmarkEnd w:id="0"/>
    </w:tbl>
    <w:p w:rsidR="00B1632A" w:rsidRPr="00000801" w:rsidRDefault="00B1632A" w:rsidP="000747A6">
      <w:pPr>
        <w:pStyle w:val="Default"/>
        <w:rPr>
          <w:rFonts w:ascii="仿宋_GB2312" w:eastAsia="仿宋_GB2312" w:hAnsi="仿宋"/>
          <w:sz w:val="32"/>
          <w:szCs w:val="32"/>
        </w:rPr>
      </w:pPr>
    </w:p>
    <w:sectPr w:rsidR="00B1632A" w:rsidRPr="00000801" w:rsidSect="002D77F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58A" w:rsidRDefault="0011358A" w:rsidP="00DD7770">
      <w:r>
        <w:separator/>
      </w:r>
    </w:p>
  </w:endnote>
  <w:endnote w:type="continuationSeparator" w:id="0">
    <w:p w:rsidR="0011358A" w:rsidRDefault="0011358A" w:rsidP="00DD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082620"/>
      <w:docPartObj>
        <w:docPartGallery w:val="Page Numbers (Bottom of Page)"/>
        <w:docPartUnique/>
      </w:docPartObj>
    </w:sdtPr>
    <w:sdtEndPr/>
    <w:sdtContent>
      <w:p w:rsidR="00BF4529" w:rsidRDefault="002C3C21">
        <w:pPr>
          <w:pStyle w:val="a5"/>
          <w:jc w:val="center"/>
        </w:pPr>
        <w:r>
          <w:fldChar w:fldCharType="begin"/>
        </w:r>
        <w:r w:rsidR="00BF4529">
          <w:instrText>PAGE   \* MERGEFORMAT</w:instrText>
        </w:r>
        <w:r>
          <w:fldChar w:fldCharType="separate"/>
        </w:r>
        <w:r w:rsidR="0033253C" w:rsidRPr="0033253C">
          <w:rPr>
            <w:noProof/>
            <w:lang w:val="zh-CN"/>
          </w:rPr>
          <w:t>3</w:t>
        </w:r>
        <w:r>
          <w:fldChar w:fldCharType="end"/>
        </w:r>
      </w:p>
    </w:sdtContent>
  </w:sdt>
  <w:p w:rsidR="00BF4529" w:rsidRDefault="00BF45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58A" w:rsidRDefault="0011358A" w:rsidP="00DD7770">
      <w:r>
        <w:separator/>
      </w:r>
    </w:p>
  </w:footnote>
  <w:footnote w:type="continuationSeparator" w:id="0">
    <w:p w:rsidR="0011358A" w:rsidRDefault="0011358A" w:rsidP="00DD7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7770"/>
    <w:rsid w:val="00000801"/>
    <w:rsid w:val="00006A73"/>
    <w:rsid w:val="000262AD"/>
    <w:rsid w:val="0006094C"/>
    <w:rsid w:val="000642C9"/>
    <w:rsid w:val="000747A6"/>
    <w:rsid w:val="000E12BC"/>
    <w:rsid w:val="000E60B0"/>
    <w:rsid w:val="0010749B"/>
    <w:rsid w:val="0011358A"/>
    <w:rsid w:val="00130E8F"/>
    <w:rsid w:val="00157851"/>
    <w:rsid w:val="001739F2"/>
    <w:rsid w:val="001740D9"/>
    <w:rsid w:val="00174835"/>
    <w:rsid w:val="001809DB"/>
    <w:rsid w:val="0018343A"/>
    <w:rsid w:val="001D35A3"/>
    <w:rsid w:val="0021398A"/>
    <w:rsid w:val="00215115"/>
    <w:rsid w:val="00217015"/>
    <w:rsid w:val="002440DF"/>
    <w:rsid w:val="00247116"/>
    <w:rsid w:val="00263BD5"/>
    <w:rsid w:val="00264DE2"/>
    <w:rsid w:val="002651CE"/>
    <w:rsid w:val="00274C1A"/>
    <w:rsid w:val="002C3C21"/>
    <w:rsid w:val="002D77FC"/>
    <w:rsid w:val="0033253C"/>
    <w:rsid w:val="0034774E"/>
    <w:rsid w:val="00363366"/>
    <w:rsid w:val="00371E90"/>
    <w:rsid w:val="003863AF"/>
    <w:rsid w:val="003B1A3F"/>
    <w:rsid w:val="003E5DD5"/>
    <w:rsid w:val="003E6110"/>
    <w:rsid w:val="0042635B"/>
    <w:rsid w:val="004351FC"/>
    <w:rsid w:val="00451166"/>
    <w:rsid w:val="00483C5B"/>
    <w:rsid w:val="00486512"/>
    <w:rsid w:val="00486A00"/>
    <w:rsid w:val="004B212F"/>
    <w:rsid w:val="004C1DF5"/>
    <w:rsid w:val="004C65D8"/>
    <w:rsid w:val="004D248C"/>
    <w:rsid w:val="004E1B67"/>
    <w:rsid w:val="00522E36"/>
    <w:rsid w:val="005442FA"/>
    <w:rsid w:val="00551725"/>
    <w:rsid w:val="00557C65"/>
    <w:rsid w:val="00565FAE"/>
    <w:rsid w:val="005728D6"/>
    <w:rsid w:val="0058659A"/>
    <w:rsid w:val="00586A21"/>
    <w:rsid w:val="00595F9F"/>
    <w:rsid w:val="005B1644"/>
    <w:rsid w:val="00630B65"/>
    <w:rsid w:val="00641AFF"/>
    <w:rsid w:val="00646503"/>
    <w:rsid w:val="0066211D"/>
    <w:rsid w:val="00663D8A"/>
    <w:rsid w:val="00676245"/>
    <w:rsid w:val="006956F9"/>
    <w:rsid w:val="006B7A4B"/>
    <w:rsid w:val="00766417"/>
    <w:rsid w:val="0079457E"/>
    <w:rsid w:val="007A53C4"/>
    <w:rsid w:val="00804939"/>
    <w:rsid w:val="00812A21"/>
    <w:rsid w:val="0084109B"/>
    <w:rsid w:val="00845AE8"/>
    <w:rsid w:val="00876420"/>
    <w:rsid w:val="00890D14"/>
    <w:rsid w:val="008930A8"/>
    <w:rsid w:val="0089491D"/>
    <w:rsid w:val="008977CE"/>
    <w:rsid w:val="009053D1"/>
    <w:rsid w:val="00915779"/>
    <w:rsid w:val="00954F56"/>
    <w:rsid w:val="00956D4A"/>
    <w:rsid w:val="00961BDE"/>
    <w:rsid w:val="0096230C"/>
    <w:rsid w:val="009A6D40"/>
    <w:rsid w:val="009C35F3"/>
    <w:rsid w:val="009D02E0"/>
    <w:rsid w:val="00A55518"/>
    <w:rsid w:val="00AA067A"/>
    <w:rsid w:val="00AA2E37"/>
    <w:rsid w:val="00B1632A"/>
    <w:rsid w:val="00BB3845"/>
    <w:rsid w:val="00BC6154"/>
    <w:rsid w:val="00BE3DC9"/>
    <w:rsid w:val="00BF4529"/>
    <w:rsid w:val="00C05DB4"/>
    <w:rsid w:val="00C13F8A"/>
    <w:rsid w:val="00C6083C"/>
    <w:rsid w:val="00CE1713"/>
    <w:rsid w:val="00CF0B82"/>
    <w:rsid w:val="00CF7D0E"/>
    <w:rsid w:val="00D279BB"/>
    <w:rsid w:val="00D5013F"/>
    <w:rsid w:val="00D70B65"/>
    <w:rsid w:val="00DA0200"/>
    <w:rsid w:val="00DA3143"/>
    <w:rsid w:val="00DA34BF"/>
    <w:rsid w:val="00DA797F"/>
    <w:rsid w:val="00DD0CE1"/>
    <w:rsid w:val="00DD7770"/>
    <w:rsid w:val="00DE3F01"/>
    <w:rsid w:val="00DE486F"/>
    <w:rsid w:val="00E00926"/>
    <w:rsid w:val="00E14A13"/>
    <w:rsid w:val="00E37A0E"/>
    <w:rsid w:val="00E665D1"/>
    <w:rsid w:val="00E710B7"/>
    <w:rsid w:val="00E77AD7"/>
    <w:rsid w:val="00EA7A5A"/>
    <w:rsid w:val="00EB4EF7"/>
    <w:rsid w:val="00EB5A0F"/>
    <w:rsid w:val="00EC449F"/>
    <w:rsid w:val="00F9694D"/>
    <w:rsid w:val="00FB0987"/>
    <w:rsid w:val="00FB3BFA"/>
    <w:rsid w:val="00FE0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073388B9-0B6D-4270-84EB-FDCCD55E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7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7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D7770"/>
    <w:rPr>
      <w:sz w:val="18"/>
      <w:szCs w:val="18"/>
    </w:rPr>
  </w:style>
  <w:style w:type="paragraph" w:styleId="a5">
    <w:name w:val="footer"/>
    <w:basedOn w:val="a"/>
    <w:link w:val="a6"/>
    <w:uiPriority w:val="99"/>
    <w:unhideWhenUsed/>
    <w:rsid w:val="00DD77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D7770"/>
    <w:rPr>
      <w:sz w:val="18"/>
      <w:szCs w:val="18"/>
    </w:rPr>
  </w:style>
  <w:style w:type="paragraph" w:customStyle="1" w:styleId="Default">
    <w:name w:val="Default"/>
    <w:rsid w:val="00DD7770"/>
    <w:pPr>
      <w:widowControl w:val="0"/>
      <w:autoSpaceDE w:val="0"/>
      <w:autoSpaceDN w:val="0"/>
      <w:adjustRightInd w:val="0"/>
    </w:pPr>
    <w:rPr>
      <w:rFonts w:ascii="宋体" w:eastAsia="宋体" w:hAnsi="Times New Roman" w:cs="宋体"/>
      <w:color w:val="000000"/>
      <w:kern w:val="0"/>
      <w:sz w:val="24"/>
      <w:szCs w:val="24"/>
    </w:rPr>
  </w:style>
  <w:style w:type="paragraph" w:styleId="a7">
    <w:name w:val="Balloon Text"/>
    <w:basedOn w:val="a"/>
    <w:link w:val="a8"/>
    <w:uiPriority w:val="99"/>
    <w:semiHidden/>
    <w:unhideWhenUsed/>
    <w:rsid w:val="001739F2"/>
    <w:rPr>
      <w:sz w:val="18"/>
      <w:szCs w:val="18"/>
    </w:rPr>
  </w:style>
  <w:style w:type="character" w:customStyle="1" w:styleId="a8">
    <w:name w:val="批注框文本 字符"/>
    <w:basedOn w:val="a0"/>
    <w:link w:val="a7"/>
    <w:uiPriority w:val="99"/>
    <w:semiHidden/>
    <w:rsid w:val="001739F2"/>
    <w:rPr>
      <w:rFonts w:ascii="Calibri" w:eastAsia="宋体" w:hAnsi="Calibri" w:cs="黑体"/>
      <w:sz w:val="18"/>
      <w:szCs w:val="18"/>
    </w:rPr>
  </w:style>
  <w:style w:type="character" w:styleId="a9">
    <w:name w:val="annotation reference"/>
    <w:basedOn w:val="a0"/>
    <w:uiPriority w:val="99"/>
    <w:semiHidden/>
    <w:unhideWhenUsed/>
    <w:rsid w:val="0018343A"/>
    <w:rPr>
      <w:sz w:val="21"/>
      <w:szCs w:val="21"/>
    </w:rPr>
  </w:style>
  <w:style w:type="paragraph" w:styleId="aa">
    <w:name w:val="annotation text"/>
    <w:basedOn w:val="a"/>
    <w:link w:val="ab"/>
    <w:uiPriority w:val="99"/>
    <w:semiHidden/>
    <w:unhideWhenUsed/>
    <w:rsid w:val="0018343A"/>
    <w:pPr>
      <w:jc w:val="left"/>
    </w:pPr>
  </w:style>
  <w:style w:type="character" w:customStyle="1" w:styleId="ab">
    <w:name w:val="批注文字 字符"/>
    <w:basedOn w:val="a0"/>
    <w:link w:val="aa"/>
    <w:uiPriority w:val="99"/>
    <w:semiHidden/>
    <w:rsid w:val="0018343A"/>
    <w:rPr>
      <w:rFonts w:ascii="Calibri" w:eastAsia="宋体" w:hAnsi="Calibri" w:cs="黑体"/>
    </w:rPr>
  </w:style>
  <w:style w:type="paragraph" w:styleId="ac">
    <w:name w:val="annotation subject"/>
    <w:basedOn w:val="aa"/>
    <w:next w:val="aa"/>
    <w:link w:val="ad"/>
    <w:uiPriority w:val="99"/>
    <w:semiHidden/>
    <w:unhideWhenUsed/>
    <w:rsid w:val="0018343A"/>
    <w:rPr>
      <w:b/>
      <w:bCs/>
    </w:rPr>
  </w:style>
  <w:style w:type="character" w:customStyle="1" w:styleId="ad">
    <w:name w:val="批注主题 字符"/>
    <w:basedOn w:val="ab"/>
    <w:link w:val="ac"/>
    <w:uiPriority w:val="99"/>
    <w:semiHidden/>
    <w:rsid w:val="0018343A"/>
    <w:rPr>
      <w:rFonts w:ascii="Calibri" w:eastAsia="宋体" w:hAnsi="Calibri" w:cs="黑体"/>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7560-54BA-426C-B66B-CC65973F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2125</Words>
  <Characters>12117</Characters>
  <Application>Microsoft Office Word</Application>
  <DocSecurity>0</DocSecurity>
  <Lines>100</Lines>
  <Paragraphs>28</Paragraphs>
  <ScaleCrop>false</ScaleCrop>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养老金管理部-朱智慧</dc:creator>
  <cp:keywords/>
  <dc:description/>
  <cp:lastModifiedBy>机构业务运营部-王晶</cp:lastModifiedBy>
  <cp:revision>25</cp:revision>
  <cp:lastPrinted>2019-09-19T07:40:00Z</cp:lastPrinted>
  <dcterms:created xsi:type="dcterms:W3CDTF">2019-12-11T07:55:00Z</dcterms:created>
  <dcterms:modified xsi:type="dcterms:W3CDTF">2020-01-14T01:16:00Z</dcterms:modified>
</cp:coreProperties>
</file>