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770" w:rsidRDefault="001739F2" w:rsidP="0012162E">
      <w:pPr>
        <w:spacing w:afterLines="100" w:after="312"/>
        <w:jc w:val="center"/>
        <w:rPr>
          <w:rFonts w:ascii="仿宋_GB2312" w:eastAsia="仿宋_GB2312" w:hAnsi="仿宋_GB2312" w:cs="仿宋_GB2312"/>
          <w:sz w:val="32"/>
          <w:szCs w:val="32"/>
        </w:rPr>
      </w:pPr>
      <w:bookmarkStart w:id="0" w:name="_GoBack"/>
      <w:r>
        <w:rPr>
          <w:rFonts w:ascii="宋体" w:hAnsi="宋体" w:cs="宋体" w:hint="eastAsia"/>
          <w:sz w:val="44"/>
          <w:szCs w:val="44"/>
        </w:rPr>
        <w:t>华夏基金</w:t>
      </w:r>
      <w:r w:rsidR="00676245">
        <w:rPr>
          <w:rFonts w:ascii="宋体" w:hAnsi="宋体" w:cs="宋体" w:hint="eastAsia"/>
          <w:sz w:val="44"/>
          <w:szCs w:val="44"/>
        </w:rPr>
        <w:t>华智1号</w:t>
      </w:r>
      <w:r w:rsidR="00676245">
        <w:rPr>
          <w:rFonts w:ascii="宋体" w:hAnsi="宋体" w:cs="宋体"/>
          <w:sz w:val="44"/>
          <w:szCs w:val="44"/>
        </w:rPr>
        <w:t>股票型</w:t>
      </w:r>
      <w:r w:rsidR="00DD7770">
        <w:rPr>
          <w:rFonts w:ascii="宋体" w:hAnsi="宋体" w:cs="宋体" w:hint="eastAsia"/>
          <w:sz w:val="44"/>
          <w:szCs w:val="44"/>
        </w:rPr>
        <w:t>养老金产品变更内容对照表</w:t>
      </w:r>
      <w:r w:rsidR="00557C65">
        <w:rPr>
          <w:rFonts w:ascii="仿宋_GB2312" w:eastAsia="仿宋_GB2312" w:hAnsi="仿宋_GB2312" w:cs="仿宋_GB2312" w:hint="eastAsia"/>
          <w:sz w:val="32"/>
          <w:szCs w:val="32"/>
        </w:rPr>
        <w:t xml:space="preserve">   </w:t>
      </w:r>
      <w:r w:rsidR="00DD7770">
        <w:rPr>
          <w:rFonts w:ascii="仿宋_GB2312" w:eastAsia="仿宋_GB2312" w:hAnsi="仿宋_GB2312" w:cs="仿宋_GB2312" w:hint="eastAsia"/>
          <w:sz w:val="32"/>
          <w:szCs w:val="32"/>
        </w:rPr>
        <w:t xml:space="preserve">            </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3260"/>
        <w:gridCol w:w="4111"/>
      </w:tblGrid>
      <w:tr w:rsidR="00DD7770" w:rsidRPr="000228C6" w:rsidTr="00557C65">
        <w:trPr>
          <w:trHeight w:val="601"/>
          <w:jc w:val="center"/>
        </w:trPr>
        <w:tc>
          <w:tcPr>
            <w:tcW w:w="8642" w:type="dxa"/>
            <w:gridSpan w:val="3"/>
            <w:tcBorders>
              <w:bottom w:val="single" w:sz="4" w:space="0" w:color="000000"/>
            </w:tcBorders>
            <w:vAlign w:val="center"/>
          </w:tcPr>
          <w:p w:rsidR="00DD7770" w:rsidRPr="000228C6" w:rsidRDefault="00DD7770" w:rsidP="000747A6">
            <w:pPr>
              <w:jc w:val="left"/>
              <w:rPr>
                <w:rFonts w:ascii="仿宋_GB2312" w:eastAsia="仿宋_GB2312" w:hAnsi="宋体"/>
                <w:b/>
                <w:sz w:val="24"/>
                <w:szCs w:val="24"/>
              </w:rPr>
            </w:pPr>
            <w:r w:rsidRPr="000228C6">
              <w:rPr>
                <w:rFonts w:ascii="仿宋_GB2312" w:eastAsia="仿宋_GB2312" w:hint="eastAsia"/>
                <w:b/>
                <w:sz w:val="24"/>
                <w:szCs w:val="24"/>
              </w:rPr>
              <w:t>投资管理合同变更内容</w:t>
            </w:r>
          </w:p>
        </w:tc>
      </w:tr>
      <w:tr w:rsidR="00DD7770" w:rsidRPr="000228C6" w:rsidTr="00557C65">
        <w:trPr>
          <w:trHeight w:val="601"/>
          <w:jc w:val="center"/>
        </w:trPr>
        <w:tc>
          <w:tcPr>
            <w:tcW w:w="1271" w:type="dxa"/>
            <w:tcBorders>
              <w:bottom w:val="single" w:sz="4" w:space="0" w:color="000000"/>
            </w:tcBorders>
            <w:vAlign w:val="center"/>
          </w:tcPr>
          <w:p w:rsidR="00DD7770" w:rsidRPr="000228C6" w:rsidRDefault="00DD7770" w:rsidP="000747A6">
            <w:pPr>
              <w:jc w:val="center"/>
              <w:rPr>
                <w:rFonts w:ascii="仿宋_GB2312" w:eastAsia="仿宋_GB2312" w:hAnsi="宋体"/>
                <w:sz w:val="24"/>
                <w:szCs w:val="24"/>
              </w:rPr>
            </w:pPr>
            <w:r w:rsidRPr="000228C6">
              <w:rPr>
                <w:rFonts w:ascii="仿宋_GB2312" w:eastAsia="仿宋_GB2312" w:hAnsi="宋体" w:hint="eastAsia"/>
                <w:sz w:val="24"/>
                <w:szCs w:val="24"/>
              </w:rPr>
              <w:t>章节</w:t>
            </w:r>
          </w:p>
        </w:tc>
        <w:tc>
          <w:tcPr>
            <w:tcW w:w="3260" w:type="dxa"/>
            <w:tcBorders>
              <w:bottom w:val="single" w:sz="4" w:space="0" w:color="000000"/>
            </w:tcBorders>
            <w:vAlign w:val="center"/>
          </w:tcPr>
          <w:p w:rsidR="00DD7770" w:rsidRPr="000228C6" w:rsidRDefault="00DD7770" w:rsidP="000747A6">
            <w:pPr>
              <w:jc w:val="center"/>
              <w:rPr>
                <w:rFonts w:ascii="仿宋_GB2312" w:eastAsia="仿宋_GB2312" w:hAnsi="宋体"/>
                <w:sz w:val="24"/>
                <w:szCs w:val="24"/>
              </w:rPr>
            </w:pPr>
            <w:r w:rsidRPr="000228C6">
              <w:rPr>
                <w:rFonts w:ascii="仿宋_GB2312" w:eastAsia="仿宋_GB2312" w:hAnsi="宋体" w:hint="eastAsia"/>
                <w:sz w:val="24"/>
                <w:szCs w:val="24"/>
              </w:rPr>
              <w:t>原投资管理合同内容</w:t>
            </w:r>
          </w:p>
        </w:tc>
        <w:tc>
          <w:tcPr>
            <w:tcW w:w="4111" w:type="dxa"/>
            <w:tcBorders>
              <w:bottom w:val="single" w:sz="4" w:space="0" w:color="000000"/>
            </w:tcBorders>
            <w:vAlign w:val="center"/>
          </w:tcPr>
          <w:p w:rsidR="00DD7770" w:rsidRPr="000228C6" w:rsidRDefault="00DD7770" w:rsidP="000747A6">
            <w:pPr>
              <w:jc w:val="center"/>
              <w:rPr>
                <w:rFonts w:ascii="仿宋_GB2312" w:eastAsia="仿宋_GB2312" w:hAnsi="宋体"/>
                <w:sz w:val="24"/>
                <w:szCs w:val="24"/>
              </w:rPr>
            </w:pPr>
            <w:r w:rsidRPr="000228C6">
              <w:rPr>
                <w:rFonts w:ascii="仿宋_GB2312" w:eastAsia="仿宋_GB2312" w:hAnsi="宋体" w:hint="eastAsia"/>
                <w:sz w:val="24"/>
                <w:szCs w:val="24"/>
              </w:rPr>
              <w:t>变更后对应内容</w:t>
            </w:r>
          </w:p>
        </w:tc>
      </w:tr>
      <w:tr w:rsidR="00C6083C" w:rsidRPr="000228C6" w:rsidTr="00557C65">
        <w:trPr>
          <w:trHeight w:val="601"/>
          <w:jc w:val="center"/>
        </w:trPr>
        <w:tc>
          <w:tcPr>
            <w:tcW w:w="1271" w:type="dxa"/>
            <w:tcBorders>
              <w:bottom w:val="single" w:sz="4" w:space="0" w:color="000000"/>
            </w:tcBorders>
            <w:vAlign w:val="center"/>
          </w:tcPr>
          <w:p w:rsidR="00C6083C" w:rsidRPr="000228C6" w:rsidRDefault="0018343A" w:rsidP="000747A6">
            <w:pPr>
              <w:jc w:val="center"/>
              <w:rPr>
                <w:rFonts w:ascii="仿宋_GB2312" w:eastAsia="仿宋_GB2312" w:hAnsi="宋体"/>
                <w:sz w:val="24"/>
                <w:szCs w:val="24"/>
              </w:rPr>
            </w:pPr>
            <w:r w:rsidRPr="000228C6">
              <w:rPr>
                <w:rFonts w:ascii="仿宋_GB2312" w:eastAsia="仿宋_GB2312" w:hAnsi="宋体" w:hint="eastAsia"/>
                <w:sz w:val="24"/>
                <w:szCs w:val="24"/>
              </w:rPr>
              <w:t>前言</w:t>
            </w:r>
          </w:p>
        </w:tc>
        <w:tc>
          <w:tcPr>
            <w:tcW w:w="3260" w:type="dxa"/>
            <w:tcBorders>
              <w:bottom w:val="single" w:sz="4" w:space="0" w:color="000000"/>
            </w:tcBorders>
            <w:vAlign w:val="center"/>
          </w:tcPr>
          <w:p w:rsidR="00C6083C" w:rsidRPr="000228C6" w:rsidRDefault="00551725" w:rsidP="00C65612">
            <w:pPr>
              <w:rPr>
                <w:rFonts w:ascii="仿宋_GB2312" w:eastAsia="仿宋_GB2312" w:hAnsi="宋体"/>
                <w:sz w:val="24"/>
                <w:szCs w:val="24"/>
              </w:rPr>
            </w:pPr>
            <w:r w:rsidRPr="000228C6">
              <w:rPr>
                <w:rFonts w:ascii="仿宋_GB2312" w:eastAsia="仿宋_GB2312" w:hAnsi="宋体" w:hint="eastAsia"/>
                <w:sz w:val="24"/>
                <w:szCs w:val="24"/>
              </w:rPr>
              <w:t>《企业年金试行办法》（劳动和社会保障部令第20</w:t>
            </w:r>
            <w:r w:rsidR="00C65612">
              <w:rPr>
                <w:rFonts w:ascii="仿宋_GB2312" w:eastAsia="仿宋_GB2312" w:hAnsi="宋体" w:hint="eastAsia"/>
                <w:sz w:val="24"/>
                <w:szCs w:val="24"/>
              </w:rPr>
              <w:t>号）</w:t>
            </w:r>
          </w:p>
        </w:tc>
        <w:tc>
          <w:tcPr>
            <w:tcW w:w="4111" w:type="dxa"/>
            <w:tcBorders>
              <w:bottom w:val="single" w:sz="4" w:space="0" w:color="000000"/>
            </w:tcBorders>
            <w:vAlign w:val="center"/>
          </w:tcPr>
          <w:p w:rsidR="00C6083C" w:rsidRPr="000228C6" w:rsidRDefault="00551725" w:rsidP="00C65612">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《企业年金办法》（人力资源和社会保障部、财政部令第36号）</w:t>
            </w:r>
          </w:p>
        </w:tc>
      </w:tr>
      <w:tr w:rsidR="00DB1A2E" w:rsidRPr="000228C6" w:rsidTr="00557C65">
        <w:trPr>
          <w:trHeight w:val="601"/>
          <w:jc w:val="center"/>
        </w:trPr>
        <w:tc>
          <w:tcPr>
            <w:tcW w:w="1271" w:type="dxa"/>
            <w:tcBorders>
              <w:bottom w:val="single" w:sz="4" w:space="0" w:color="000000"/>
            </w:tcBorders>
            <w:vAlign w:val="center"/>
          </w:tcPr>
          <w:p w:rsidR="00DB1A2E" w:rsidRPr="00DB1A2E" w:rsidRDefault="00DB1A2E" w:rsidP="000747A6">
            <w:pPr>
              <w:jc w:val="center"/>
              <w:rPr>
                <w:rFonts w:ascii="仿宋_GB2312" w:eastAsia="仿宋_GB2312" w:hAnsi="宋体"/>
                <w:sz w:val="24"/>
                <w:szCs w:val="24"/>
              </w:rPr>
            </w:pPr>
            <w:r>
              <w:rPr>
                <w:rFonts w:ascii="仿宋_GB2312" w:eastAsia="仿宋_GB2312" w:hAnsi="宋体"/>
                <w:sz w:val="24"/>
                <w:szCs w:val="24"/>
              </w:rPr>
              <w:t>4.3</w:t>
            </w:r>
          </w:p>
        </w:tc>
        <w:tc>
          <w:tcPr>
            <w:tcW w:w="3260" w:type="dxa"/>
            <w:tcBorders>
              <w:bottom w:val="single" w:sz="4" w:space="0" w:color="000000"/>
            </w:tcBorders>
            <w:vAlign w:val="center"/>
          </w:tcPr>
          <w:p w:rsidR="00DB1A2E" w:rsidRDefault="00DB1A2E" w:rsidP="00C65612">
            <w:pPr>
              <w:rPr>
                <w:rFonts w:ascii="仿宋_GB2312" w:eastAsia="仿宋_GB2312" w:hAnsi="宋体"/>
                <w:sz w:val="24"/>
                <w:szCs w:val="24"/>
              </w:rPr>
            </w:pPr>
            <w:r>
              <w:rPr>
                <w:rFonts w:ascii="仿宋_GB2312" w:eastAsia="仿宋_GB2312" w:hAnsi="宋体" w:hint="eastAsia"/>
                <w:sz w:val="24"/>
                <w:szCs w:val="24"/>
              </w:rPr>
              <w:t>托管人</w:t>
            </w:r>
            <w:r>
              <w:rPr>
                <w:rFonts w:ascii="仿宋_GB2312" w:eastAsia="仿宋_GB2312" w:hAnsi="宋体"/>
                <w:sz w:val="24"/>
                <w:szCs w:val="24"/>
              </w:rPr>
              <w:t>概况</w:t>
            </w:r>
          </w:p>
          <w:p w:rsidR="00DB1A2E" w:rsidRDefault="00DB1A2E" w:rsidP="00C65612">
            <w:pPr>
              <w:rPr>
                <w:rFonts w:ascii="仿宋_GB2312" w:eastAsia="仿宋_GB2312" w:hAnsi="宋体"/>
                <w:sz w:val="24"/>
                <w:szCs w:val="24"/>
              </w:rPr>
            </w:pPr>
            <w:r>
              <w:rPr>
                <w:rFonts w:ascii="仿宋_GB2312" w:eastAsia="仿宋_GB2312" w:hAnsi="宋体" w:hint="eastAsia"/>
                <w:sz w:val="24"/>
                <w:szCs w:val="24"/>
              </w:rPr>
              <w:t>电话：</w:t>
            </w:r>
            <w:r>
              <w:rPr>
                <w:rFonts w:ascii="仿宋_GB2312" w:eastAsia="仿宋_GB2312" w:hAnsi="宋体"/>
                <w:sz w:val="24"/>
                <w:szCs w:val="24"/>
              </w:rPr>
              <w:t>010-6759</w:t>
            </w:r>
            <w:r w:rsidRPr="00DB1A2E">
              <w:rPr>
                <w:rFonts w:ascii="仿宋_GB2312" w:eastAsia="仿宋_GB2312" w:hAnsi="宋体"/>
                <w:sz w:val="24"/>
                <w:szCs w:val="24"/>
              </w:rPr>
              <w:t>7114</w:t>
            </w:r>
          </w:p>
          <w:p w:rsidR="00DB1A2E" w:rsidRPr="000228C6" w:rsidRDefault="00DB1A2E" w:rsidP="00DB1A2E">
            <w:pPr>
              <w:rPr>
                <w:rFonts w:ascii="仿宋_GB2312" w:eastAsia="仿宋_GB2312" w:hAnsi="宋体"/>
                <w:sz w:val="24"/>
                <w:szCs w:val="24"/>
              </w:rPr>
            </w:pPr>
            <w:r>
              <w:rPr>
                <w:rFonts w:ascii="仿宋_GB2312" w:eastAsia="仿宋_GB2312" w:hAnsi="宋体" w:hint="eastAsia"/>
                <w:sz w:val="24"/>
                <w:szCs w:val="24"/>
              </w:rPr>
              <w:t>法定</w:t>
            </w:r>
            <w:r>
              <w:rPr>
                <w:rFonts w:ascii="仿宋_GB2312" w:eastAsia="仿宋_GB2312" w:hAnsi="宋体"/>
                <w:sz w:val="24"/>
                <w:szCs w:val="24"/>
              </w:rPr>
              <w:t>代表人：</w:t>
            </w:r>
            <w:r>
              <w:rPr>
                <w:rFonts w:ascii="仿宋_GB2312" w:eastAsia="仿宋_GB2312" w:hAnsi="宋体" w:hint="eastAsia"/>
                <w:sz w:val="24"/>
                <w:szCs w:val="24"/>
              </w:rPr>
              <w:t>王洪章</w:t>
            </w:r>
          </w:p>
        </w:tc>
        <w:tc>
          <w:tcPr>
            <w:tcW w:w="4111" w:type="dxa"/>
            <w:tcBorders>
              <w:bottom w:val="single" w:sz="4" w:space="0" w:color="000000"/>
            </w:tcBorders>
            <w:vAlign w:val="center"/>
          </w:tcPr>
          <w:p w:rsidR="00DB1A2E" w:rsidRDefault="00DB1A2E" w:rsidP="00DB1A2E">
            <w:pPr>
              <w:rPr>
                <w:rFonts w:ascii="仿宋_GB2312" w:eastAsia="仿宋_GB2312" w:hAnsi="宋体"/>
                <w:sz w:val="24"/>
                <w:szCs w:val="24"/>
              </w:rPr>
            </w:pPr>
            <w:r>
              <w:rPr>
                <w:rFonts w:ascii="仿宋_GB2312" w:eastAsia="仿宋_GB2312" w:hAnsi="宋体" w:hint="eastAsia"/>
                <w:sz w:val="24"/>
                <w:szCs w:val="24"/>
              </w:rPr>
              <w:t>托管人</w:t>
            </w:r>
            <w:r>
              <w:rPr>
                <w:rFonts w:ascii="仿宋_GB2312" w:eastAsia="仿宋_GB2312" w:hAnsi="宋体"/>
                <w:sz w:val="24"/>
                <w:szCs w:val="24"/>
              </w:rPr>
              <w:t>概况</w:t>
            </w:r>
          </w:p>
          <w:p w:rsidR="00DB1A2E" w:rsidRDefault="00DB1A2E" w:rsidP="00DB1A2E">
            <w:pPr>
              <w:rPr>
                <w:rFonts w:ascii="仿宋_GB2312" w:eastAsia="仿宋_GB2312" w:hAnsi="宋体"/>
                <w:sz w:val="24"/>
                <w:szCs w:val="24"/>
              </w:rPr>
            </w:pPr>
            <w:r>
              <w:rPr>
                <w:rFonts w:ascii="仿宋_GB2312" w:eastAsia="仿宋_GB2312" w:hAnsi="宋体" w:hint="eastAsia"/>
                <w:sz w:val="24"/>
                <w:szCs w:val="24"/>
              </w:rPr>
              <w:t>电话：</w:t>
            </w:r>
            <w:r>
              <w:rPr>
                <w:rFonts w:ascii="仿宋_GB2312" w:eastAsia="仿宋_GB2312" w:hAnsi="宋体"/>
                <w:sz w:val="24"/>
                <w:szCs w:val="24"/>
              </w:rPr>
              <w:t>010-67595067</w:t>
            </w:r>
          </w:p>
          <w:p w:rsidR="00DB1A2E" w:rsidRPr="000228C6" w:rsidRDefault="00DB1A2E" w:rsidP="00DB1A2E">
            <w:pPr>
              <w:rPr>
                <w:rFonts w:ascii="仿宋_GB2312" w:eastAsia="仿宋_GB2312"/>
                <w:sz w:val="24"/>
                <w:szCs w:val="24"/>
                <w:shd w:val="clear" w:color="auto" w:fill="FFFFFF"/>
              </w:rPr>
            </w:pPr>
            <w:r>
              <w:rPr>
                <w:rFonts w:ascii="仿宋_GB2312" w:eastAsia="仿宋_GB2312" w:hAnsi="宋体" w:hint="eastAsia"/>
                <w:sz w:val="24"/>
                <w:szCs w:val="24"/>
              </w:rPr>
              <w:t>法定</w:t>
            </w:r>
            <w:r>
              <w:rPr>
                <w:rFonts w:ascii="仿宋_GB2312" w:eastAsia="仿宋_GB2312" w:hAnsi="宋体"/>
                <w:sz w:val="24"/>
                <w:szCs w:val="24"/>
              </w:rPr>
              <w:t>代表人：</w:t>
            </w:r>
            <w:r>
              <w:rPr>
                <w:rFonts w:ascii="仿宋_GB2312" w:eastAsia="仿宋_GB2312" w:hAnsi="宋体" w:hint="eastAsia"/>
                <w:sz w:val="24"/>
                <w:szCs w:val="24"/>
              </w:rPr>
              <w:t>田国立</w:t>
            </w:r>
          </w:p>
        </w:tc>
      </w:tr>
      <w:tr w:rsidR="00C6083C" w:rsidRPr="000228C6" w:rsidTr="00557C65">
        <w:trPr>
          <w:trHeight w:val="601"/>
          <w:jc w:val="center"/>
        </w:trPr>
        <w:tc>
          <w:tcPr>
            <w:tcW w:w="1271" w:type="dxa"/>
            <w:tcBorders>
              <w:bottom w:val="single" w:sz="4" w:space="0" w:color="000000"/>
            </w:tcBorders>
            <w:vAlign w:val="center"/>
          </w:tcPr>
          <w:p w:rsidR="00C6083C" w:rsidRPr="000228C6" w:rsidRDefault="0018343A" w:rsidP="00551725">
            <w:pPr>
              <w:jc w:val="center"/>
              <w:rPr>
                <w:rFonts w:ascii="仿宋_GB2312" w:eastAsia="仿宋_GB2312" w:hAnsi="宋体"/>
                <w:sz w:val="24"/>
                <w:szCs w:val="24"/>
              </w:rPr>
            </w:pPr>
            <w:r w:rsidRPr="000228C6">
              <w:rPr>
                <w:rFonts w:ascii="仿宋_GB2312" w:eastAsia="仿宋_GB2312" w:hAnsi="宋体"/>
                <w:sz w:val="24"/>
                <w:szCs w:val="24"/>
              </w:rPr>
              <w:t>5.4</w:t>
            </w:r>
          </w:p>
        </w:tc>
        <w:tc>
          <w:tcPr>
            <w:tcW w:w="3260" w:type="dxa"/>
            <w:tcBorders>
              <w:bottom w:val="single" w:sz="4" w:space="0" w:color="000000"/>
            </w:tcBorders>
            <w:vAlign w:val="center"/>
          </w:tcPr>
          <w:p w:rsidR="004B212F" w:rsidRPr="000228C6" w:rsidRDefault="004B212F" w:rsidP="0018343A">
            <w:pPr>
              <w:rPr>
                <w:rFonts w:ascii="仿宋_GB2312" w:eastAsia="仿宋_GB2312" w:hAnsi="宋体"/>
                <w:sz w:val="24"/>
                <w:szCs w:val="24"/>
              </w:rPr>
            </w:pPr>
            <w:r w:rsidRPr="000228C6">
              <w:rPr>
                <w:rFonts w:ascii="仿宋_GB2312" w:eastAsia="仿宋_GB2312" w:hAnsi="宋体" w:hint="eastAsia"/>
                <w:sz w:val="24"/>
                <w:szCs w:val="24"/>
              </w:rPr>
              <w:t>产品</w:t>
            </w:r>
            <w:r w:rsidRPr="000228C6">
              <w:rPr>
                <w:rFonts w:ascii="仿宋_GB2312" w:eastAsia="仿宋_GB2312" w:hAnsi="宋体"/>
                <w:sz w:val="24"/>
                <w:szCs w:val="24"/>
              </w:rPr>
              <w:t>的投资目标</w:t>
            </w:r>
          </w:p>
          <w:p w:rsidR="00C6083C" w:rsidRPr="000228C6" w:rsidRDefault="0018343A" w:rsidP="0018343A">
            <w:pPr>
              <w:rPr>
                <w:rFonts w:ascii="仿宋_GB2312" w:eastAsia="仿宋_GB2312" w:hAnsi="宋体"/>
                <w:sz w:val="24"/>
                <w:szCs w:val="24"/>
              </w:rPr>
            </w:pPr>
            <w:r w:rsidRPr="000228C6">
              <w:rPr>
                <w:rFonts w:ascii="仿宋_GB2312" w:eastAsia="仿宋_GB2312" w:hAnsi="宋体" w:hint="eastAsia"/>
                <w:sz w:val="24"/>
                <w:szCs w:val="24"/>
              </w:rPr>
              <w:t>在有效控制风险的基础上，在公司股票基本面研究的基础上，再应用量化精选策略，运用股指期货对冲市场系统风险，追求长期稳健增值。</w:t>
            </w:r>
          </w:p>
        </w:tc>
        <w:tc>
          <w:tcPr>
            <w:tcW w:w="4111" w:type="dxa"/>
            <w:tcBorders>
              <w:bottom w:val="single" w:sz="4" w:space="0" w:color="000000"/>
            </w:tcBorders>
            <w:vAlign w:val="center"/>
          </w:tcPr>
          <w:p w:rsidR="004B212F" w:rsidRPr="000228C6" w:rsidRDefault="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产品</w:t>
            </w:r>
            <w:r w:rsidRPr="000228C6">
              <w:rPr>
                <w:rFonts w:ascii="仿宋_GB2312" w:eastAsia="仿宋_GB2312"/>
                <w:sz w:val="24"/>
                <w:szCs w:val="24"/>
                <w:shd w:val="clear" w:color="auto" w:fill="FFFFFF"/>
              </w:rPr>
              <w:t>的投资目标</w:t>
            </w:r>
          </w:p>
          <w:p w:rsidR="00C6083C" w:rsidRPr="000228C6" w:rsidRDefault="0018343A">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通过灵活运用多种投资策略，充分挖掘和利用市场中潜在的投资机会，谋求本产品资产的长期、持续增值。</w:t>
            </w:r>
          </w:p>
        </w:tc>
      </w:tr>
      <w:tr w:rsidR="00CF7D0E" w:rsidRPr="000228C6" w:rsidTr="00557C65">
        <w:trPr>
          <w:trHeight w:val="601"/>
          <w:jc w:val="center"/>
        </w:trPr>
        <w:tc>
          <w:tcPr>
            <w:tcW w:w="1271" w:type="dxa"/>
            <w:tcBorders>
              <w:bottom w:val="single" w:sz="4" w:space="0" w:color="000000"/>
            </w:tcBorders>
            <w:vAlign w:val="center"/>
          </w:tcPr>
          <w:p w:rsidR="00CF7D0E" w:rsidRPr="000228C6" w:rsidRDefault="00E00926" w:rsidP="000747A6">
            <w:pPr>
              <w:jc w:val="center"/>
              <w:rPr>
                <w:rFonts w:ascii="仿宋_GB2312" w:eastAsia="仿宋_GB2312" w:hAnsi="宋体"/>
                <w:sz w:val="24"/>
                <w:szCs w:val="24"/>
              </w:rPr>
            </w:pPr>
            <w:r w:rsidRPr="000228C6">
              <w:rPr>
                <w:rFonts w:ascii="仿宋_GB2312" w:eastAsia="仿宋_GB2312" w:hAnsi="宋体"/>
                <w:sz w:val="24"/>
                <w:szCs w:val="24"/>
              </w:rPr>
              <w:t>5.5</w:t>
            </w:r>
          </w:p>
          <w:p w:rsidR="00E00926" w:rsidRPr="000228C6" w:rsidRDefault="00E00926" w:rsidP="000747A6">
            <w:pPr>
              <w:jc w:val="center"/>
              <w:rPr>
                <w:rFonts w:ascii="仿宋_GB2312" w:eastAsia="仿宋_GB2312" w:hAnsi="宋体"/>
                <w:sz w:val="24"/>
                <w:szCs w:val="24"/>
              </w:rPr>
            </w:pPr>
          </w:p>
        </w:tc>
        <w:tc>
          <w:tcPr>
            <w:tcW w:w="3260" w:type="dxa"/>
            <w:tcBorders>
              <w:bottom w:val="single" w:sz="4" w:space="0" w:color="000000"/>
            </w:tcBorders>
            <w:vAlign w:val="center"/>
          </w:tcPr>
          <w:p w:rsidR="004B212F" w:rsidRPr="000228C6" w:rsidRDefault="004B212F" w:rsidP="004B212F">
            <w:pPr>
              <w:rPr>
                <w:rFonts w:ascii="仿宋_GB2312" w:eastAsia="仿宋_GB2312" w:hAnsi="宋体"/>
                <w:sz w:val="24"/>
                <w:szCs w:val="24"/>
              </w:rPr>
            </w:pPr>
            <w:r w:rsidRPr="000228C6">
              <w:rPr>
                <w:rFonts w:ascii="仿宋_GB2312" w:eastAsia="仿宋_GB2312" w:hAnsi="宋体" w:hint="eastAsia"/>
                <w:sz w:val="24"/>
                <w:szCs w:val="24"/>
              </w:rPr>
              <w:t>投资策略</w:t>
            </w:r>
          </w:p>
          <w:p w:rsidR="004B212F" w:rsidRPr="000228C6" w:rsidRDefault="004B212F" w:rsidP="004B212F">
            <w:pPr>
              <w:rPr>
                <w:rFonts w:ascii="仿宋_GB2312" w:eastAsia="仿宋_GB2312" w:hAnsi="宋体"/>
                <w:sz w:val="24"/>
                <w:szCs w:val="24"/>
              </w:rPr>
            </w:pPr>
            <w:r w:rsidRPr="000228C6">
              <w:rPr>
                <w:rFonts w:ascii="仿宋_GB2312" w:eastAsia="仿宋_GB2312" w:hAnsi="宋体" w:hint="eastAsia"/>
                <w:sz w:val="24"/>
                <w:szCs w:val="24"/>
              </w:rPr>
              <w:t>5.5.1 资产配置策略</w:t>
            </w:r>
          </w:p>
          <w:p w:rsidR="004B212F" w:rsidRPr="000228C6" w:rsidRDefault="004B212F" w:rsidP="004B212F">
            <w:pPr>
              <w:rPr>
                <w:rFonts w:ascii="仿宋_GB2312" w:eastAsia="仿宋_GB2312" w:hAnsi="宋体"/>
                <w:sz w:val="24"/>
                <w:szCs w:val="24"/>
              </w:rPr>
            </w:pPr>
            <w:r w:rsidRPr="000228C6">
              <w:rPr>
                <w:rFonts w:ascii="仿宋_GB2312" w:eastAsia="仿宋_GB2312" w:hAnsi="宋体" w:hint="eastAsia"/>
                <w:sz w:val="24"/>
                <w:szCs w:val="24"/>
              </w:rPr>
              <w:t>在资产配置方面，本产品主要运用股指期货对持有的股票、股票型基金等权益类多头组合进行对冲操作，规避权益类多头组合的市场系统性风险；同时预留必要的现金，以应对保证金的增加要求或投资者的赎回申请。</w:t>
            </w:r>
          </w:p>
          <w:p w:rsidR="004B212F" w:rsidRPr="000228C6" w:rsidRDefault="004B212F" w:rsidP="004B212F">
            <w:pPr>
              <w:rPr>
                <w:rFonts w:ascii="仿宋_GB2312" w:eastAsia="仿宋_GB2312" w:hAnsi="宋体"/>
                <w:sz w:val="24"/>
                <w:szCs w:val="24"/>
              </w:rPr>
            </w:pPr>
            <w:r w:rsidRPr="000228C6">
              <w:rPr>
                <w:rFonts w:ascii="仿宋_GB2312" w:eastAsia="仿宋_GB2312" w:hAnsi="宋体" w:hint="eastAsia"/>
                <w:sz w:val="24"/>
                <w:szCs w:val="24"/>
              </w:rPr>
              <w:t>5.5.2股票投资策略</w:t>
            </w:r>
          </w:p>
          <w:p w:rsidR="004B212F" w:rsidRPr="000228C6" w:rsidRDefault="004B212F" w:rsidP="004B212F">
            <w:pPr>
              <w:rPr>
                <w:rFonts w:ascii="仿宋_GB2312" w:eastAsia="仿宋_GB2312" w:hAnsi="宋体"/>
                <w:sz w:val="24"/>
                <w:szCs w:val="24"/>
              </w:rPr>
            </w:pPr>
            <w:r w:rsidRPr="000228C6">
              <w:rPr>
                <w:rFonts w:ascii="仿宋_GB2312" w:eastAsia="仿宋_GB2312" w:hAnsi="宋体" w:hint="eastAsia"/>
                <w:sz w:val="24"/>
                <w:szCs w:val="24"/>
              </w:rPr>
              <w:t>通过对不同行业深入的基本面研究，根据行业发展现状、公司盈利能力、成长能力等因素构建行业优选股票池。在研究成果基础上进行排查，剔除部分风险过高的股票，进一步精化股票池。</w:t>
            </w:r>
          </w:p>
          <w:p w:rsidR="004B212F" w:rsidRPr="000228C6" w:rsidRDefault="004B212F" w:rsidP="004B212F">
            <w:pPr>
              <w:rPr>
                <w:rFonts w:ascii="仿宋_GB2312" w:eastAsia="仿宋_GB2312" w:hAnsi="宋体"/>
                <w:sz w:val="24"/>
                <w:szCs w:val="24"/>
              </w:rPr>
            </w:pPr>
            <w:r w:rsidRPr="000228C6">
              <w:rPr>
                <w:rFonts w:ascii="仿宋_GB2312" w:eastAsia="仿宋_GB2312" w:hAnsi="宋体" w:hint="eastAsia"/>
                <w:sz w:val="24"/>
                <w:szCs w:val="24"/>
              </w:rPr>
              <w:t>在股票池中进行多因子选股，每月调仓，并根据不同因子类别和效果赋予不同的权重，组合因子优化整体选股效果。股票因子池每半年重新测试一次，使因子适用于不同的市场</w:t>
            </w:r>
            <w:r w:rsidRPr="000228C6">
              <w:rPr>
                <w:rFonts w:ascii="仿宋_GB2312" w:eastAsia="仿宋_GB2312" w:hAnsi="宋体" w:hint="eastAsia"/>
                <w:sz w:val="24"/>
                <w:szCs w:val="24"/>
              </w:rPr>
              <w:lastRenderedPageBreak/>
              <w:t>环境，同时确保股票组合的整体风险处于可控范围内。</w:t>
            </w:r>
          </w:p>
          <w:p w:rsidR="004B212F" w:rsidRPr="000228C6" w:rsidRDefault="004B212F" w:rsidP="004B212F">
            <w:pPr>
              <w:rPr>
                <w:rFonts w:ascii="仿宋_GB2312" w:eastAsia="仿宋_GB2312" w:hAnsi="宋体"/>
                <w:sz w:val="24"/>
                <w:szCs w:val="24"/>
              </w:rPr>
            </w:pPr>
            <w:r w:rsidRPr="000228C6">
              <w:rPr>
                <w:rFonts w:ascii="仿宋_GB2312" w:eastAsia="仿宋_GB2312" w:hAnsi="宋体" w:hint="eastAsia"/>
                <w:sz w:val="24"/>
                <w:szCs w:val="24"/>
              </w:rPr>
              <w:t>5.5.3 股指期货投资策略</w:t>
            </w:r>
          </w:p>
          <w:p w:rsidR="004B212F" w:rsidRPr="000228C6" w:rsidRDefault="004B212F" w:rsidP="004B212F">
            <w:pPr>
              <w:rPr>
                <w:rFonts w:ascii="仿宋_GB2312" w:eastAsia="仿宋_GB2312" w:hAnsi="宋体"/>
                <w:sz w:val="24"/>
                <w:szCs w:val="24"/>
              </w:rPr>
            </w:pPr>
            <w:r w:rsidRPr="000228C6">
              <w:rPr>
                <w:rFonts w:ascii="仿宋_GB2312" w:eastAsia="仿宋_GB2312" w:hAnsi="宋体" w:hint="eastAsia"/>
                <w:sz w:val="24"/>
                <w:szCs w:val="24"/>
              </w:rPr>
              <w:t>本产品主要运用股指期货合约进行套期保值操作，规避市场系统性风险。在完全套保的理念下，本产品根据股票多头组合的市值计算股指期货合约卖单量，并根据市场变化对股指期货合约卖单量进行动态跟踪并适时调整。同时，综合考虑定价关系、套利机会、流动性以及保证金要求等因素，在不同股指期货合约之间进行动态配置，并适时进行合约展期操作，优化展期时机，捕捉更多基差收益，以求提高组合收益和套期保值的效果。</w:t>
            </w:r>
          </w:p>
          <w:p w:rsidR="004B212F" w:rsidRPr="000228C6" w:rsidRDefault="004B212F" w:rsidP="004B212F">
            <w:pPr>
              <w:rPr>
                <w:rFonts w:ascii="仿宋_GB2312" w:eastAsia="仿宋_GB2312" w:hAnsi="宋体"/>
                <w:sz w:val="24"/>
                <w:szCs w:val="24"/>
              </w:rPr>
            </w:pPr>
            <w:r w:rsidRPr="000228C6">
              <w:rPr>
                <w:rFonts w:ascii="仿宋_GB2312" w:eastAsia="仿宋_GB2312" w:hAnsi="宋体" w:hint="eastAsia"/>
                <w:sz w:val="24"/>
                <w:szCs w:val="24"/>
              </w:rPr>
              <w:t>本合同有效期内，若关于养老金产品参与融资融券、转融通业务及投资期权等其他金融工具的相关规定颁布实施，投资管理人将按照人力资源社会保障部、中国证监会的规定及其他相关法律法规的要求，根据市场情况选择合适的衍生工具对冲市场系统风险。</w:t>
            </w:r>
          </w:p>
          <w:p w:rsidR="004B212F" w:rsidRPr="000228C6" w:rsidRDefault="004B212F" w:rsidP="004B212F">
            <w:pPr>
              <w:rPr>
                <w:rFonts w:ascii="仿宋_GB2312" w:eastAsia="仿宋_GB2312" w:hAnsi="宋体"/>
                <w:sz w:val="24"/>
                <w:szCs w:val="24"/>
              </w:rPr>
            </w:pPr>
            <w:r w:rsidRPr="000228C6">
              <w:rPr>
                <w:rFonts w:ascii="仿宋_GB2312" w:eastAsia="仿宋_GB2312" w:hAnsi="宋体" w:hint="eastAsia"/>
                <w:sz w:val="24"/>
                <w:szCs w:val="24"/>
              </w:rPr>
              <w:t>5.5.4  其他投资策略</w:t>
            </w:r>
          </w:p>
          <w:p w:rsidR="004B212F" w:rsidRPr="000228C6" w:rsidRDefault="004B212F" w:rsidP="004B212F">
            <w:pPr>
              <w:rPr>
                <w:rFonts w:ascii="仿宋_GB2312" w:eastAsia="仿宋_GB2312" w:hAnsi="宋体"/>
                <w:sz w:val="24"/>
                <w:szCs w:val="24"/>
              </w:rPr>
            </w:pPr>
            <w:r w:rsidRPr="000228C6">
              <w:rPr>
                <w:rFonts w:ascii="仿宋_GB2312" w:eastAsia="仿宋_GB2312" w:hAnsi="宋体" w:hint="eastAsia"/>
                <w:sz w:val="24"/>
                <w:szCs w:val="24"/>
              </w:rPr>
              <w:t>本产品基于流动性管理及策略性投资的需要，将运用多种积极管理增值策略投资于证券投资基金、债券、商业银行理财产品、信托产品、基础设施债权计划、特定客户资产管理计划和货币市场工具，在确保养老金产品资产流动性的基础上，有效利用养老金产品的资产，提高投资收益。</w:t>
            </w:r>
          </w:p>
          <w:p w:rsidR="004B212F" w:rsidRPr="000228C6" w:rsidRDefault="004B212F" w:rsidP="004B212F">
            <w:pPr>
              <w:rPr>
                <w:rFonts w:ascii="仿宋_GB2312" w:eastAsia="仿宋_GB2312" w:hAnsi="宋体"/>
                <w:sz w:val="24"/>
                <w:szCs w:val="24"/>
              </w:rPr>
            </w:pPr>
            <w:r w:rsidRPr="000228C6">
              <w:rPr>
                <w:rFonts w:ascii="仿宋_GB2312" w:eastAsia="仿宋_GB2312" w:hAnsi="宋体" w:hint="eastAsia"/>
                <w:sz w:val="24"/>
                <w:szCs w:val="24"/>
              </w:rPr>
              <w:t>5.5.5 建仓期策略</w:t>
            </w:r>
          </w:p>
          <w:p w:rsidR="004B212F" w:rsidRPr="000228C6" w:rsidRDefault="004B212F" w:rsidP="004B212F">
            <w:pPr>
              <w:rPr>
                <w:rFonts w:ascii="仿宋_GB2312" w:eastAsia="仿宋_GB2312" w:hAnsi="宋体"/>
                <w:sz w:val="24"/>
                <w:szCs w:val="24"/>
              </w:rPr>
            </w:pPr>
            <w:r w:rsidRPr="000228C6">
              <w:rPr>
                <w:rFonts w:ascii="仿宋_GB2312" w:eastAsia="仿宋_GB2312" w:hAnsi="宋体" w:hint="eastAsia"/>
                <w:sz w:val="24"/>
                <w:szCs w:val="24"/>
              </w:rPr>
              <w:t>本产品将根据市场波动性及其走向趋势，采用时间平均法调整建仓节奏，控制建仓成本，同时在组合获利达到既定目标时及时兑现，以实现稳健</w:t>
            </w:r>
            <w:r w:rsidRPr="000228C6">
              <w:rPr>
                <w:rFonts w:ascii="仿宋_GB2312" w:eastAsia="仿宋_GB2312" w:hAnsi="宋体" w:hint="eastAsia"/>
                <w:sz w:val="24"/>
                <w:szCs w:val="24"/>
              </w:rPr>
              <w:lastRenderedPageBreak/>
              <w:t>收益目标。</w:t>
            </w:r>
          </w:p>
          <w:p w:rsidR="00CF7D0E" w:rsidRPr="000228C6" w:rsidRDefault="004B212F" w:rsidP="004B212F">
            <w:pPr>
              <w:rPr>
                <w:rFonts w:ascii="仿宋_GB2312" w:eastAsia="仿宋_GB2312" w:hAnsi="宋体"/>
                <w:sz w:val="24"/>
                <w:szCs w:val="24"/>
              </w:rPr>
            </w:pPr>
            <w:r w:rsidRPr="000228C6">
              <w:rPr>
                <w:rFonts w:ascii="仿宋_GB2312" w:eastAsia="仿宋_GB2312" w:hAnsi="宋体" w:hint="eastAsia"/>
                <w:sz w:val="24"/>
                <w:szCs w:val="24"/>
              </w:rPr>
              <w:t>产品在构建股票组合时，会根据最近一段时间市场走势，预先设定建仓节奏。如市场振荡较大时，产品将放慢建仓节奏，如市场趋势明显、振荡不大时，产品将加快建仓节奏。时间平均法可有效控制建仓成本，降低组合波动。</w:t>
            </w:r>
          </w:p>
        </w:tc>
        <w:tc>
          <w:tcPr>
            <w:tcW w:w="4111" w:type="dxa"/>
            <w:tcBorders>
              <w:bottom w:val="single" w:sz="4" w:space="0" w:color="000000"/>
            </w:tcBorders>
            <w:vAlign w:val="center"/>
          </w:tcPr>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lastRenderedPageBreak/>
              <w:t>投资策略</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5.5.1 资产配置策略</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本产品将结合宏观经济环境、政策形势、证券市场走势的综合分析，主动判断市场时机，进行积极的资产配置，合理确定产品在股票、债券等各类资产类别上的投资比例，以最大限度地降低投资组合的风险、提高收益。</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5.5.2 股票投资策略</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5.5.2.1  个股精选策略</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通过对不同行业深入的基本面研究，根据行业发展现状、公司盈利能力、成长能力等因素构建行业优选股票池。在研究成果基础上进行排查，剔除部分风险过高的股票，进一步精化股票池。在股票池中进行多因子选股或多因素选股，并通过对市场海量数据的深度挖掘和高效处理，不断自主优化和改进投资策略，紧跟市场动态，以实现长期超额收益。</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5.5.2.2  新股申购策略</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本产品将研究首次发行（IPO）股票及增发新股的上市公司基本面，根据股票市场整体定价水平，估计新股上市</w:t>
            </w:r>
            <w:r w:rsidRPr="000228C6">
              <w:rPr>
                <w:rFonts w:ascii="仿宋_GB2312" w:eastAsia="仿宋_GB2312" w:hint="eastAsia"/>
                <w:sz w:val="24"/>
                <w:szCs w:val="24"/>
                <w:shd w:val="clear" w:color="auto" w:fill="FFFFFF"/>
              </w:rPr>
              <w:lastRenderedPageBreak/>
              <w:t>交易的合理价格，同时参考一级市场资金供求关系，制定相应的新股申购策略。本产品对于通过参与新股认购所获得的股票，将根据其市场价格相对于其合理内在价值的高低，确定继续持有或者卖出。</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5.5.3  债券投资策略</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本产品将在保持组合低波动性的前提下，运用多种积极管理增值策略，追求稳健回报。</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5.5.3.1  久期调整策略</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本产品将根据对利率水平的预期，在预期利率下降时，增加组合久期，以较多地获得债券价格上升带来的收益，在预期利率上升时，减小组合久期，以规避债券价格下降的风险。</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5.5.3.2  收益率曲线策略</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在久期确定的基础上，根据对收益率曲线形状变化的预测，采用子弹型策略、哑铃型策略或梯形策略，在长期、中期和短期债券间进行配置，以从长、中、短期债券的相对价格变化中获利。</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5.5.3.3  债券类属配置策略</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根据国债、金融债、企业债等不同债券板块之间的相对投资价值分析，增持价值被相对低估的债券板块，减持价值被相对高估的债券板块，借以取得较高收益。其中，随着债券市场的发展，本产品将加强对企业债、资产抵押债券等新品种的投资，主要通过信用风险的分析和管理，获取超额收益。</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5.5.3.4  骑乘策略</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通过分析收益率曲线各期限段的利差情况，买入收益率曲线最陡峭处所对应的期限债券，随着本产品持有债券时间的延长，债券的剩余期限将缩短，到期收益率将下降，产品从而可获得资本利得收入。</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5.5.3.5  相对价值策略</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相对价值策略包括研究国债与金融债之间的信用利差、交易所与银行间的市场利差等。金融债与国债的利差由税收因素形成，利差的大小主要受市</w:t>
            </w:r>
            <w:r w:rsidRPr="000228C6">
              <w:rPr>
                <w:rFonts w:ascii="仿宋_GB2312" w:eastAsia="仿宋_GB2312" w:hint="eastAsia"/>
                <w:sz w:val="24"/>
                <w:szCs w:val="24"/>
                <w:shd w:val="clear" w:color="auto" w:fill="FFFFFF"/>
              </w:rPr>
              <w:lastRenderedPageBreak/>
              <w:t>场资金供给充裕程度决定，资金供给越充分上述利差将越小。交易所与银行间的联动性随着市场改革势必渐渐加强，两市之间的利差能够提供一些增值机会。</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5.5.3.6  信用利差策略</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企业债与国债的利差曲线理论上受经济波动与企业生命周期影响，相同资信等级的公司债在利差期限结构上服从凸性回归均衡的规律。内外部评级的差别与信用等级的变动会造成相对利差的波动，另外在经济上升或下降的周期中企业债利差将缩小或扩大。投资管理人可以通过对内外部评级、利差曲线研究和经济周期的判断主动采用相对利差投资策略。</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5.5.3.7  回购放大策略</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该策略在资金相对充裕的情况下是风险</w:t>
            </w:r>
            <w:r w:rsidR="007A53C4" w:rsidRPr="000228C6">
              <w:rPr>
                <w:rFonts w:ascii="仿宋_GB2312" w:eastAsia="仿宋_GB2312" w:hint="eastAsia"/>
                <w:sz w:val="24"/>
                <w:szCs w:val="24"/>
                <w:shd w:val="clear" w:color="auto" w:fill="FFFFFF"/>
              </w:rPr>
              <w:t>较低</w:t>
            </w:r>
            <w:r w:rsidRPr="000228C6">
              <w:rPr>
                <w:rFonts w:ascii="仿宋_GB2312" w:eastAsia="仿宋_GB2312" w:hint="eastAsia"/>
                <w:sz w:val="24"/>
                <w:szCs w:val="24"/>
                <w:shd w:val="clear" w:color="auto" w:fill="FFFFFF"/>
              </w:rPr>
              <w:t>的投资策略。即在基础组合的基础上，使用基础组合持有的债券进行回购放大融入短期资金滚动操作，同时选择2年以下的交易所和银行间品种进行投资以获取骑乘及短期债券与货币市场利率的利差。</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5.5.3.8  可转债投资策略</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可转债不同于一般的企业债券，其投资人具有在一定条件下转股、回售的权利，因此其理论价值等于作为普通债券的基础价值加上可转债内含选择权的价值。本产品投资于可转债，主要目标是降低产品净值的下行风险</w:t>
            </w:r>
            <w:r w:rsidR="007A53C4" w:rsidRPr="000228C6">
              <w:rPr>
                <w:rFonts w:ascii="仿宋_GB2312" w:eastAsia="仿宋_GB2312" w:hint="eastAsia"/>
                <w:sz w:val="24"/>
                <w:szCs w:val="24"/>
                <w:shd w:val="clear" w:color="auto" w:fill="FFFFFF"/>
              </w:rPr>
              <w:t>，</w:t>
            </w:r>
            <w:r w:rsidRPr="000228C6">
              <w:rPr>
                <w:rFonts w:ascii="仿宋_GB2312" w:eastAsia="仿宋_GB2312" w:hint="eastAsia"/>
                <w:sz w:val="24"/>
                <w:szCs w:val="24"/>
                <w:shd w:val="clear" w:color="auto" w:fill="FFFFFF"/>
              </w:rPr>
              <w:t>产品投资的可转债可以转股，以保留参与股票升值的收益潜力。</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a.积极管理策略</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可转债内含选择权定价是决定可转债投资价值的关键因素。本产品将采取积极管理策略，重视对可转债对应股票的分析与研究，选择那些公司行业景气趋势回升、成长性好、估值水平偏低或合理的转债进行投资，以获取收益。</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b.一级市场申购策略</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目前，可转债均采取定价发行，对于那些发行条款优惠、期权价值较高、</w:t>
            </w:r>
            <w:r w:rsidRPr="000228C6">
              <w:rPr>
                <w:rFonts w:ascii="仿宋_GB2312" w:eastAsia="仿宋_GB2312" w:hint="eastAsia"/>
                <w:sz w:val="24"/>
                <w:szCs w:val="24"/>
                <w:shd w:val="clear" w:color="auto" w:fill="FFFFFF"/>
              </w:rPr>
              <w:lastRenderedPageBreak/>
              <w:t>公司基本面优良的可转债，因供求不平衡，会产生较大的一、二级市场价差。因此，为增加组合收益，本产品将在充分研究的基础上，参与可转换债券的一级市场申购，在严格控制风险的前提下获得稳定收益。</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5.5.4 建仓期策略</w:t>
            </w:r>
          </w:p>
          <w:p w:rsidR="004B212F" w:rsidRPr="000228C6" w:rsidRDefault="004B212F" w:rsidP="004B212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本产品将根据市场波动性及其走向趋势，采用时间平均法调整建仓节奏，控制建仓成本，同时在组合获利达到既定目标时及时兑现，以实现稳健收益目标。</w:t>
            </w:r>
          </w:p>
          <w:p w:rsidR="00CF7D0E" w:rsidRPr="000228C6" w:rsidRDefault="004B212F" w:rsidP="003863AF">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产品在构建股票组合时，会根据最近一段时间市场走势，预先设定建仓节奏。如市场振荡较大时，产品将放慢建仓节奏，如市场趋势明显、振荡不大时，产品将加快建仓节奏。时间平均法可有效控制建仓成本，降低组合波动。</w:t>
            </w:r>
          </w:p>
        </w:tc>
      </w:tr>
      <w:tr w:rsidR="00363366" w:rsidRPr="000228C6" w:rsidTr="00557C65">
        <w:trPr>
          <w:trHeight w:val="601"/>
          <w:jc w:val="center"/>
        </w:trPr>
        <w:tc>
          <w:tcPr>
            <w:tcW w:w="1271" w:type="dxa"/>
            <w:tcBorders>
              <w:bottom w:val="single" w:sz="4" w:space="0" w:color="000000"/>
            </w:tcBorders>
            <w:vAlign w:val="center"/>
          </w:tcPr>
          <w:p w:rsidR="00363366" w:rsidRPr="000228C6" w:rsidRDefault="00915779" w:rsidP="000747A6">
            <w:pPr>
              <w:jc w:val="center"/>
              <w:rPr>
                <w:rFonts w:ascii="仿宋_GB2312" w:eastAsia="仿宋_GB2312" w:hAnsi="宋体"/>
                <w:sz w:val="24"/>
                <w:szCs w:val="24"/>
              </w:rPr>
            </w:pPr>
            <w:r w:rsidRPr="000228C6">
              <w:rPr>
                <w:rFonts w:ascii="仿宋_GB2312" w:eastAsia="仿宋_GB2312" w:hAnsi="宋体"/>
                <w:sz w:val="24"/>
                <w:szCs w:val="24"/>
              </w:rPr>
              <w:lastRenderedPageBreak/>
              <w:t>7.7.8</w:t>
            </w:r>
          </w:p>
          <w:p w:rsidR="004B212F" w:rsidRPr="000228C6" w:rsidRDefault="004B212F" w:rsidP="000747A6">
            <w:pPr>
              <w:jc w:val="center"/>
              <w:rPr>
                <w:rFonts w:ascii="仿宋_GB2312" w:eastAsia="仿宋_GB2312" w:hAnsi="宋体"/>
                <w:sz w:val="24"/>
                <w:szCs w:val="24"/>
              </w:rPr>
            </w:pPr>
            <w:r w:rsidRPr="000228C6">
              <w:rPr>
                <w:rFonts w:ascii="仿宋_GB2312" w:eastAsia="仿宋_GB2312" w:hAnsi="宋体" w:hint="eastAsia"/>
                <w:sz w:val="24"/>
                <w:szCs w:val="24"/>
              </w:rPr>
              <w:t>（新增）</w:t>
            </w:r>
          </w:p>
        </w:tc>
        <w:tc>
          <w:tcPr>
            <w:tcW w:w="3260" w:type="dxa"/>
            <w:tcBorders>
              <w:bottom w:val="single" w:sz="4" w:space="0" w:color="000000"/>
            </w:tcBorders>
            <w:vAlign w:val="center"/>
          </w:tcPr>
          <w:p w:rsidR="00363366" w:rsidRPr="000228C6" w:rsidRDefault="00363366" w:rsidP="00915779">
            <w:pPr>
              <w:rPr>
                <w:rFonts w:ascii="仿宋_GB2312" w:eastAsia="仿宋_GB2312" w:hAnsi="宋体"/>
                <w:sz w:val="24"/>
                <w:szCs w:val="24"/>
              </w:rPr>
            </w:pPr>
          </w:p>
        </w:tc>
        <w:tc>
          <w:tcPr>
            <w:tcW w:w="4111" w:type="dxa"/>
            <w:tcBorders>
              <w:bottom w:val="single" w:sz="4" w:space="0" w:color="000000"/>
            </w:tcBorders>
            <w:vAlign w:val="center"/>
          </w:tcPr>
          <w:p w:rsidR="00363366" w:rsidRPr="000228C6" w:rsidRDefault="004B212F" w:rsidP="00915779">
            <w:pPr>
              <w:rPr>
                <w:rFonts w:ascii="仿宋_GB2312" w:eastAsia="仿宋_GB2312" w:hAnsi="宋体"/>
                <w:sz w:val="24"/>
                <w:szCs w:val="24"/>
              </w:rPr>
            </w:pPr>
            <w:r w:rsidRPr="000228C6">
              <w:rPr>
                <w:rFonts w:ascii="仿宋_GB2312" w:eastAsia="仿宋_GB2312" w:hAnsi="宋体" w:hint="eastAsia"/>
                <w:sz w:val="24"/>
                <w:szCs w:val="24"/>
              </w:rPr>
              <w:t>投资管理人可以通过公司网站以公告形式规定单个投资者的申购金额上限。</w:t>
            </w:r>
          </w:p>
        </w:tc>
      </w:tr>
      <w:tr w:rsidR="00915779" w:rsidRPr="000228C6" w:rsidTr="00557C65">
        <w:trPr>
          <w:trHeight w:val="601"/>
          <w:jc w:val="center"/>
        </w:trPr>
        <w:tc>
          <w:tcPr>
            <w:tcW w:w="1271" w:type="dxa"/>
            <w:tcBorders>
              <w:bottom w:val="single" w:sz="4" w:space="0" w:color="000000"/>
            </w:tcBorders>
            <w:vAlign w:val="center"/>
          </w:tcPr>
          <w:p w:rsidR="00915779" w:rsidRPr="000228C6" w:rsidRDefault="00641AFF" w:rsidP="00641AFF">
            <w:pPr>
              <w:jc w:val="center"/>
              <w:rPr>
                <w:rFonts w:ascii="仿宋_GB2312" w:eastAsia="仿宋_GB2312" w:hAnsi="宋体"/>
                <w:sz w:val="24"/>
                <w:szCs w:val="24"/>
              </w:rPr>
            </w:pPr>
            <w:r w:rsidRPr="000228C6">
              <w:rPr>
                <w:rFonts w:ascii="仿宋_GB2312" w:eastAsia="仿宋_GB2312" w:hAnsi="宋体" w:hint="eastAsia"/>
                <w:sz w:val="24"/>
                <w:szCs w:val="24"/>
              </w:rPr>
              <w:t>9.1</w:t>
            </w:r>
          </w:p>
        </w:tc>
        <w:tc>
          <w:tcPr>
            <w:tcW w:w="3260" w:type="dxa"/>
            <w:tcBorders>
              <w:bottom w:val="single" w:sz="4" w:space="0" w:color="000000"/>
            </w:tcBorders>
            <w:vAlign w:val="center"/>
          </w:tcPr>
          <w:p w:rsidR="004B212F" w:rsidRPr="000228C6" w:rsidRDefault="004B212F" w:rsidP="00915779">
            <w:pPr>
              <w:rPr>
                <w:rFonts w:ascii="仿宋_GB2312" w:eastAsia="仿宋_GB2312" w:hAnsi="宋体"/>
                <w:sz w:val="24"/>
                <w:szCs w:val="24"/>
              </w:rPr>
            </w:pPr>
            <w:r w:rsidRPr="000228C6">
              <w:rPr>
                <w:rFonts w:ascii="仿宋_GB2312" w:eastAsia="仿宋_GB2312" w:hAnsi="宋体" w:hint="eastAsia"/>
                <w:sz w:val="24"/>
                <w:szCs w:val="24"/>
              </w:rPr>
              <w:t>投资目标</w:t>
            </w:r>
          </w:p>
          <w:p w:rsidR="00915779" w:rsidRPr="000228C6" w:rsidRDefault="00915779" w:rsidP="00915779">
            <w:pPr>
              <w:rPr>
                <w:rFonts w:ascii="仿宋_GB2312" w:eastAsia="仿宋_GB2312" w:hAnsi="宋体"/>
                <w:sz w:val="24"/>
                <w:szCs w:val="24"/>
              </w:rPr>
            </w:pPr>
            <w:r w:rsidRPr="000228C6">
              <w:rPr>
                <w:rFonts w:ascii="仿宋_GB2312" w:eastAsia="仿宋_GB2312" w:hAnsi="宋体" w:hint="eastAsia"/>
                <w:sz w:val="24"/>
                <w:szCs w:val="24"/>
              </w:rPr>
              <w:t>在有效控制风险的基础上，在公司股票基本面研究的基础上，再应用量化精选策略，运用股指期货对冲市场系统风险，追求长期稳健增值。</w:t>
            </w:r>
          </w:p>
        </w:tc>
        <w:tc>
          <w:tcPr>
            <w:tcW w:w="4111" w:type="dxa"/>
            <w:tcBorders>
              <w:bottom w:val="single" w:sz="4" w:space="0" w:color="000000"/>
            </w:tcBorders>
            <w:vAlign w:val="center"/>
          </w:tcPr>
          <w:p w:rsidR="004B212F" w:rsidRPr="000228C6" w:rsidRDefault="004B212F" w:rsidP="00915779">
            <w:pPr>
              <w:rPr>
                <w:rFonts w:ascii="仿宋_GB2312" w:eastAsia="仿宋_GB2312" w:hAnsi="宋体"/>
                <w:sz w:val="24"/>
                <w:szCs w:val="24"/>
              </w:rPr>
            </w:pPr>
            <w:r w:rsidRPr="000228C6">
              <w:rPr>
                <w:rFonts w:ascii="仿宋_GB2312" w:eastAsia="仿宋_GB2312" w:hAnsi="宋体" w:hint="eastAsia"/>
                <w:sz w:val="24"/>
                <w:szCs w:val="24"/>
              </w:rPr>
              <w:t>投资目标</w:t>
            </w:r>
          </w:p>
          <w:p w:rsidR="00915779" w:rsidRPr="000228C6" w:rsidRDefault="00915779" w:rsidP="00915779">
            <w:pPr>
              <w:rPr>
                <w:rFonts w:ascii="仿宋_GB2312" w:eastAsia="仿宋_GB2312" w:hAnsi="宋体"/>
                <w:sz w:val="24"/>
                <w:szCs w:val="24"/>
              </w:rPr>
            </w:pPr>
            <w:r w:rsidRPr="000228C6">
              <w:rPr>
                <w:rFonts w:ascii="仿宋_GB2312" w:eastAsia="仿宋_GB2312" w:hAnsi="宋体" w:hint="eastAsia"/>
                <w:sz w:val="24"/>
                <w:szCs w:val="24"/>
              </w:rPr>
              <w:t>通过灵活运用多种投资策略，充分挖掘和利用市场中潜在的投资机会，谋求本产品资产的长期、持续增值。</w:t>
            </w:r>
          </w:p>
        </w:tc>
      </w:tr>
      <w:tr w:rsidR="00915779" w:rsidRPr="000228C6" w:rsidTr="00557C65">
        <w:trPr>
          <w:trHeight w:val="601"/>
          <w:jc w:val="center"/>
        </w:trPr>
        <w:tc>
          <w:tcPr>
            <w:tcW w:w="1271" w:type="dxa"/>
            <w:tcBorders>
              <w:bottom w:val="single" w:sz="4" w:space="0" w:color="000000"/>
            </w:tcBorders>
            <w:vAlign w:val="center"/>
          </w:tcPr>
          <w:p w:rsidR="00915779" w:rsidRPr="000228C6" w:rsidRDefault="00915779" w:rsidP="00915779">
            <w:pPr>
              <w:jc w:val="center"/>
              <w:rPr>
                <w:rFonts w:ascii="仿宋_GB2312" w:eastAsia="仿宋_GB2312" w:hAnsi="宋体"/>
                <w:sz w:val="24"/>
                <w:szCs w:val="24"/>
              </w:rPr>
            </w:pPr>
            <w:r w:rsidRPr="000228C6">
              <w:rPr>
                <w:rFonts w:ascii="仿宋_GB2312" w:eastAsia="仿宋_GB2312" w:hAnsi="宋体" w:hint="eastAsia"/>
                <w:sz w:val="24"/>
                <w:szCs w:val="24"/>
              </w:rPr>
              <w:t>9.2</w:t>
            </w:r>
          </w:p>
          <w:p w:rsidR="00915779" w:rsidRPr="000228C6" w:rsidRDefault="00915779" w:rsidP="002651CE">
            <w:pPr>
              <w:rPr>
                <w:rFonts w:ascii="仿宋_GB2312" w:eastAsia="仿宋_GB2312" w:hAnsi="宋体"/>
                <w:sz w:val="24"/>
                <w:szCs w:val="24"/>
              </w:rPr>
            </w:pPr>
          </w:p>
        </w:tc>
        <w:tc>
          <w:tcPr>
            <w:tcW w:w="3260" w:type="dxa"/>
            <w:tcBorders>
              <w:bottom w:val="single" w:sz="4" w:space="0" w:color="000000"/>
            </w:tcBorders>
            <w:vAlign w:val="center"/>
          </w:tcPr>
          <w:p w:rsidR="004B212F" w:rsidRPr="000228C6" w:rsidRDefault="004B212F" w:rsidP="00915779">
            <w:pPr>
              <w:rPr>
                <w:rFonts w:ascii="仿宋_GB2312" w:eastAsia="仿宋_GB2312" w:hAnsi="宋体"/>
                <w:sz w:val="24"/>
                <w:szCs w:val="24"/>
              </w:rPr>
            </w:pPr>
            <w:r w:rsidRPr="000228C6">
              <w:rPr>
                <w:rFonts w:ascii="仿宋_GB2312" w:eastAsia="仿宋_GB2312" w:hAnsi="宋体" w:hint="eastAsia"/>
                <w:sz w:val="24"/>
                <w:szCs w:val="24"/>
              </w:rPr>
              <w:t>投资基准</w:t>
            </w:r>
          </w:p>
          <w:p w:rsidR="00915779" w:rsidRPr="000228C6" w:rsidRDefault="00915779" w:rsidP="00915779">
            <w:pPr>
              <w:rPr>
                <w:rFonts w:ascii="仿宋_GB2312" w:eastAsia="仿宋_GB2312" w:hAnsi="宋体"/>
                <w:sz w:val="24"/>
                <w:szCs w:val="24"/>
              </w:rPr>
            </w:pPr>
            <w:r w:rsidRPr="000228C6">
              <w:rPr>
                <w:rFonts w:ascii="仿宋_GB2312" w:eastAsia="仿宋_GB2312" w:hAnsi="宋体" w:hint="eastAsia"/>
                <w:sz w:val="24"/>
                <w:szCs w:val="24"/>
              </w:rPr>
              <w:t>同期中国人民银行公布的三年定期存款税后基准利率，并随利率变动实时调整。</w:t>
            </w:r>
          </w:p>
        </w:tc>
        <w:tc>
          <w:tcPr>
            <w:tcW w:w="4111" w:type="dxa"/>
            <w:tcBorders>
              <w:bottom w:val="single" w:sz="4" w:space="0" w:color="000000"/>
            </w:tcBorders>
            <w:vAlign w:val="center"/>
          </w:tcPr>
          <w:p w:rsidR="00DA0200" w:rsidRPr="000228C6" w:rsidRDefault="00DA0200" w:rsidP="00915779">
            <w:pPr>
              <w:adjustRightInd w:val="0"/>
              <w:snapToGrid w:val="0"/>
              <w:rPr>
                <w:rFonts w:ascii="仿宋_GB2312" w:eastAsia="仿宋_GB2312" w:hAnsi="宋体"/>
                <w:sz w:val="24"/>
                <w:szCs w:val="24"/>
              </w:rPr>
            </w:pPr>
            <w:r w:rsidRPr="000228C6">
              <w:rPr>
                <w:rFonts w:ascii="仿宋_GB2312" w:eastAsia="仿宋_GB2312" w:hAnsi="宋体" w:hint="eastAsia"/>
                <w:sz w:val="24"/>
                <w:szCs w:val="24"/>
              </w:rPr>
              <w:t>投资基准</w:t>
            </w:r>
          </w:p>
          <w:p w:rsidR="00915779" w:rsidRPr="000228C6" w:rsidRDefault="00915779" w:rsidP="00915779">
            <w:pPr>
              <w:adjustRightInd w:val="0"/>
              <w:snapToGrid w:val="0"/>
              <w:rPr>
                <w:rFonts w:ascii="仿宋_GB2312" w:eastAsia="仿宋_GB2312" w:hAnsi="宋体"/>
                <w:b/>
                <w:sz w:val="24"/>
                <w:szCs w:val="24"/>
              </w:rPr>
            </w:pPr>
            <w:r w:rsidRPr="000228C6">
              <w:rPr>
                <w:rFonts w:ascii="仿宋_GB2312" w:eastAsia="仿宋_GB2312" w:hAnsi="宋体" w:hint="eastAsia"/>
                <w:sz w:val="24"/>
                <w:szCs w:val="24"/>
              </w:rPr>
              <w:t>同期沪深300指数收益率。</w:t>
            </w:r>
          </w:p>
        </w:tc>
      </w:tr>
      <w:tr w:rsidR="004B212F" w:rsidRPr="000228C6" w:rsidTr="00557C65">
        <w:trPr>
          <w:trHeight w:val="601"/>
          <w:jc w:val="center"/>
        </w:trPr>
        <w:tc>
          <w:tcPr>
            <w:tcW w:w="1271" w:type="dxa"/>
            <w:tcBorders>
              <w:bottom w:val="single" w:sz="4" w:space="0" w:color="000000"/>
            </w:tcBorders>
            <w:vAlign w:val="center"/>
          </w:tcPr>
          <w:p w:rsidR="004B212F" w:rsidRPr="000228C6" w:rsidRDefault="004B212F" w:rsidP="00915779">
            <w:pPr>
              <w:jc w:val="center"/>
              <w:rPr>
                <w:rFonts w:ascii="仿宋_GB2312" w:eastAsia="仿宋_GB2312" w:hAnsi="宋体"/>
                <w:sz w:val="24"/>
                <w:szCs w:val="24"/>
              </w:rPr>
            </w:pPr>
            <w:r w:rsidRPr="000228C6">
              <w:rPr>
                <w:rFonts w:ascii="仿宋_GB2312" w:eastAsia="仿宋_GB2312" w:hAnsi="宋体" w:hint="eastAsia"/>
                <w:sz w:val="24"/>
                <w:szCs w:val="24"/>
              </w:rPr>
              <w:t>9.2</w:t>
            </w:r>
          </w:p>
          <w:p w:rsidR="004B212F" w:rsidRPr="000228C6" w:rsidRDefault="004B212F" w:rsidP="00915779">
            <w:pPr>
              <w:jc w:val="center"/>
              <w:rPr>
                <w:rFonts w:ascii="仿宋_GB2312" w:eastAsia="仿宋_GB2312" w:hAnsi="宋体"/>
                <w:sz w:val="24"/>
                <w:szCs w:val="24"/>
              </w:rPr>
            </w:pPr>
            <w:r w:rsidRPr="000228C6">
              <w:rPr>
                <w:rFonts w:ascii="仿宋_GB2312" w:eastAsia="仿宋_GB2312" w:hAnsi="宋体" w:hint="eastAsia"/>
                <w:sz w:val="24"/>
                <w:szCs w:val="24"/>
              </w:rPr>
              <w:t>（新增）</w:t>
            </w:r>
          </w:p>
        </w:tc>
        <w:tc>
          <w:tcPr>
            <w:tcW w:w="3260" w:type="dxa"/>
            <w:tcBorders>
              <w:bottom w:val="single" w:sz="4" w:space="0" w:color="000000"/>
            </w:tcBorders>
            <w:vAlign w:val="center"/>
          </w:tcPr>
          <w:p w:rsidR="004B212F" w:rsidRPr="000228C6" w:rsidRDefault="004B212F" w:rsidP="00915779">
            <w:pPr>
              <w:rPr>
                <w:rFonts w:ascii="仿宋_GB2312" w:eastAsia="仿宋_GB2312" w:hAnsi="宋体"/>
                <w:sz w:val="24"/>
                <w:szCs w:val="24"/>
              </w:rPr>
            </w:pPr>
          </w:p>
        </w:tc>
        <w:tc>
          <w:tcPr>
            <w:tcW w:w="4111" w:type="dxa"/>
            <w:tcBorders>
              <w:bottom w:val="single" w:sz="4" w:space="0" w:color="000000"/>
            </w:tcBorders>
            <w:vAlign w:val="center"/>
          </w:tcPr>
          <w:p w:rsidR="004B212F" w:rsidRPr="000228C6" w:rsidRDefault="004B212F" w:rsidP="00915779">
            <w:pPr>
              <w:adjustRightInd w:val="0"/>
              <w:snapToGrid w:val="0"/>
              <w:rPr>
                <w:rFonts w:ascii="仿宋_GB2312" w:eastAsia="仿宋_GB2312" w:hAnsi="宋体"/>
                <w:sz w:val="24"/>
                <w:szCs w:val="24"/>
              </w:rPr>
            </w:pPr>
            <w:r w:rsidRPr="000228C6">
              <w:rPr>
                <w:rFonts w:ascii="仿宋_GB2312" w:eastAsia="仿宋_GB2312" w:hAnsi="宋体" w:hint="eastAsia"/>
                <w:sz w:val="24"/>
                <w:szCs w:val="24"/>
              </w:rPr>
              <w:t>本合同约定的投资基准仅是评价本产品业绩表现的比较标准，不构成投资管理人、托管人对本产品本金和收益状况的任何承诺或保证。</w:t>
            </w:r>
          </w:p>
        </w:tc>
      </w:tr>
      <w:tr w:rsidR="00915779" w:rsidRPr="000228C6" w:rsidTr="00557C65">
        <w:trPr>
          <w:trHeight w:val="601"/>
          <w:jc w:val="center"/>
        </w:trPr>
        <w:tc>
          <w:tcPr>
            <w:tcW w:w="1271" w:type="dxa"/>
            <w:tcBorders>
              <w:bottom w:val="single" w:sz="4" w:space="0" w:color="000000"/>
            </w:tcBorders>
            <w:vAlign w:val="center"/>
          </w:tcPr>
          <w:p w:rsidR="00915779" w:rsidRPr="000228C6" w:rsidRDefault="00915779" w:rsidP="00915779">
            <w:pPr>
              <w:jc w:val="center"/>
              <w:rPr>
                <w:rFonts w:ascii="仿宋_GB2312" w:eastAsia="仿宋_GB2312" w:hAnsi="宋体"/>
                <w:sz w:val="24"/>
                <w:szCs w:val="24"/>
              </w:rPr>
            </w:pPr>
            <w:r w:rsidRPr="000228C6">
              <w:rPr>
                <w:rFonts w:ascii="仿宋_GB2312" w:eastAsia="仿宋_GB2312" w:hAnsi="宋体" w:hint="eastAsia"/>
                <w:sz w:val="24"/>
                <w:szCs w:val="24"/>
              </w:rPr>
              <w:t>9.3</w:t>
            </w:r>
          </w:p>
        </w:tc>
        <w:tc>
          <w:tcPr>
            <w:tcW w:w="3260" w:type="dxa"/>
            <w:tcBorders>
              <w:bottom w:val="single" w:sz="4" w:space="0" w:color="000000"/>
            </w:tcBorders>
            <w:vAlign w:val="center"/>
          </w:tcPr>
          <w:p w:rsidR="004B212F" w:rsidRPr="000228C6" w:rsidRDefault="004B212F" w:rsidP="00915779">
            <w:pPr>
              <w:rPr>
                <w:rFonts w:ascii="仿宋_GB2312" w:eastAsia="仿宋_GB2312" w:hAnsi="宋体"/>
                <w:sz w:val="24"/>
                <w:szCs w:val="24"/>
              </w:rPr>
            </w:pPr>
            <w:r w:rsidRPr="000228C6">
              <w:rPr>
                <w:rFonts w:ascii="仿宋_GB2312" w:eastAsia="仿宋_GB2312" w:hAnsi="宋体" w:hint="eastAsia"/>
                <w:sz w:val="24"/>
                <w:szCs w:val="24"/>
              </w:rPr>
              <w:t>风险收益特征</w:t>
            </w:r>
          </w:p>
          <w:p w:rsidR="00915779" w:rsidRPr="000228C6" w:rsidRDefault="00915779" w:rsidP="00915779">
            <w:pPr>
              <w:rPr>
                <w:rFonts w:ascii="仿宋_GB2312" w:eastAsia="仿宋_GB2312" w:hAnsi="宋体"/>
                <w:sz w:val="24"/>
                <w:szCs w:val="24"/>
              </w:rPr>
            </w:pPr>
            <w:r w:rsidRPr="000228C6">
              <w:rPr>
                <w:rFonts w:ascii="仿宋_GB2312" w:eastAsia="仿宋_GB2312" w:hAnsi="宋体" w:hint="eastAsia"/>
                <w:sz w:val="24"/>
                <w:szCs w:val="24"/>
              </w:rPr>
              <w:t>本产品是股票型养老金产品，风险高于货币型、固定收益型养老金产品，低于普通股票型养老金产品和混合型养老金产品。</w:t>
            </w:r>
          </w:p>
        </w:tc>
        <w:tc>
          <w:tcPr>
            <w:tcW w:w="4111" w:type="dxa"/>
            <w:tcBorders>
              <w:bottom w:val="single" w:sz="4" w:space="0" w:color="000000"/>
            </w:tcBorders>
            <w:vAlign w:val="center"/>
          </w:tcPr>
          <w:p w:rsidR="004B212F" w:rsidRPr="000228C6" w:rsidRDefault="004B212F" w:rsidP="00915779">
            <w:pPr>
              <w:rPr>
                <w:rFonts w:ascii="仿宋_GB2312" w:eastAsia="仿宋_GB2312" w:hAnsi="宋体"/>
                <w:sz w:val="24"/>
                <w:szCs w:val="24"/>
              </w:rPr>
            </w:pPr>
            <w:r w:rsidRPr="000228C6">
              <w:rPr>
                <w:rFonts w:ascii="仿宋_GB2312" w:eastAsia="仿宋_GB2312" w:hAnsi="宋体" w:hint="eastAsia"/>
                <w:sz w:val="24"/>
                <w:szCs w:val="24"/>
              </w:rPr>
              <w:t>风险收益特征</w:t>
            </w:r>
          </w:p>
          <w:p w:rsidR="00915779" w:rsidRPr="000228C6" w:rsidRDefault="00915779" w:rsidP="00915779">
            <w:pPr>
              <w:rPr>
                <w:rFonts w:ascii="仿宋_GB2312" w:eastAsia="仿宋_GB2312" w:hAnsi="宋体"/>
                <w:sz w:val="24"/>
                <w:szCs w:val="24"/>
              </w:rPr>
            </w:pPr>
            <w:r w:rsidRPr="000228C6">
              <w:rPr>
                <w:rFonts w:ascii="仿宋_GB2312" w:eastAsia="仿宋_GB2312" w:hAnsi="宋体" w:hint="eastAsia"/>
                <w:sz w:val="24"/>
                <w:szCs w:val="24"/>
              </w:rPr>
              <w:t>本产品是股票型养老金产品，风险高于货币型、固定收益型、混合型养老金产品，投资风险较高，投资者需承担较高的短期波动风险。</w:t>
            </w:r>
          </w:p>
        </w:tc>
      </w:tr>
      <w:tr w:rsidR="003863AF" w:rsidRPr="000228C6" w:rsidTr="00557C65">
        <w:trPr>
          <w:trHeight w:val="601"/>
          <w:jc w:val="center"/>
        </w:trPr>
        <w:tc>
          <w:tcPr>
            <w:tcW w:w="1271" w:type="dxa"/>
            <w:tcBorders>
              <w:bottom w:val="single" w:sz="4" w:space="0" w:color="000000"/>
            </w:tcBorders>
            <w:vAlign w:val="center"/>
          </w:tcPr>
          <w:p w:rsidR="003863AF" w:rsidRPr="000228C6" w:rsidRDefault="003863AF" w:rsidP="003863AF">
            <w:pPr>
              <w:jc w:val="center"/>
              <w:rPr>
                <w:rFonts w:ascii="仿宋_GB2312" w:eastAsia="仿宋_GB2312" w:hAnsi="宋体"/>
                <w:sz w:val="24"/>
                <w:szCs w:val="24"/>
              </w:rPr>
            </w:pPr>
            <w:r w:rsidRPr="000228C6">
              <w:rPr>
                <w:rFonts w:ascii="仿宋_GB2312" w:eastAsia="仿宋_GB2312" w:hAnsi="宋体" w:hint="eastAsia"/>
                <w:sz w:val="24"/>
                <w:szCs w:val="24"/>
              </w:rPr>
              <w:t>9.4.5</w:t>
            </w:r>
          </w:p>
          <w:p w:rsidR="003863AF" w:rsidRPr="000228C6" w:rsidRDefault="003863AF" w:rsidP="003863AF">
            <w:pPr>
              <w:jc w:val="center"/>
              <w:rPr>
                <w:rFonts w:ascii="仿宋_GB2312" w:eastAsia="仿宋_GB2312" w:hAnsi="宋体"/>
                <w:sz w:val="24"/>
                <w:szCs w:val="24"/>
              </w:rPr>
            </w:pPr>
            <w:r w:rsidRPr="000228C6">
              <w:rPr>
                <w:rFonts w:ascii="仿宋_GB2312" w:eastAsia="仿宋_GB2312" w:hAnsi="宋体" w:hint="eastAsia"/>
                <w:sz w:val="24"/>
                <w:szCs w:val="24"/>
              </w:rPr>
              <w:t>（新增）</w:t>
            </w:r>
          </w:p>
        </w:tc>
        <w:tc>
          <w:tcPr>
            <w:tcW w:w="3260" w:type="dxa"/>
            <w:tcBorders>
              <w:bottom w:val="single" w:sz="4" w:space="0" w:color="000000"/>
            </w:tcBorders>
            <w:vAlign w:val="center"/>
          </w:tcPr>
          <w:p w:rsidR="003863AF" w:rsidRPr="000228C6" w:rsidRDefault="003863AF" w:rsidP="003863AF">
            <w:pPr>
              <w:rPr>
                <w:rFonts w:ascii="仿宋_GB2312" w:eastAsia="仿宋_GB2312" w:hAnsi="宋体"/>
                <w:sz w:val="24"/>
                <w:szCs w:val="24"/>
              </w:rPr>
            </w:pPr>
          </w:p>
        </w:tc>
        <w:tc>
          <w:tcPr>
            <w:tcW w:w="4111" w:type="dxa"/>
            <w:tcBorders>
              <w:bottom w:val="single" w:sz="4" w:space="0" w:color="000000"/>
            </w:tcBorders>
            <w:vAlign w:val="center"/>
          </w:tcPr>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投资管理人可以在本合同约定的投资范围内，运用本养老金产品资产投资</w:t>
            </w:r>
            <w:r w:rsidRPr="000228C6">
              <w:rPr>
                <w:rFonts w:ascii="仿宋_GB2312" w:eastAsia="仿宋_GB2312" w:hAnsi="宋体" w:hint="eastAsia"/>
                <w:sz w:val="24"/>
                <w:szCs w:val="24"/>
              </w:rPr>
              <w:lastRenderedPageBreak/>
              <w:t>于本产品投资人、投资管理人、托管人及其关联方发行或承销的证券或金融产品或进行其他关联交易，无需投资人的个别授权，但法律另有规定或本合同另有约定的除外。以上投资行为应按照市场通行的方式和条件参与，公平对待养老金产品财产，投资管理人不得通过关联交易或者其他方式侵害投资人的利益。</w:t>
            </w:r>
          </w:p>
        </w:tc>
      </w:tr>
      <w:tr w:rsidR="003863AF" w:rsidRPr="000228C6" w:rsidTr="00557C65">
        <w:trPr>
          <w:trHeight w:val="601"/>
          <w:jc w:val="center"/>
        </w:trPr>
        <w:tc>
          <w:tcPr>
            <w:tcW w:w="1271" w:type="dxa"/>
            <w:tcBorders>
              <w:bottom w:val="single" w:sz="4" w:space="0" w:color="000000"/>
            </w:tcBorders>
            <w:vAlign w:val="center"/>
          </w:tcPr>
          <w:p w:rsidR="003863AF" w:rsidRPr="000228C6" w:rsidRDefault="003863AF" w:rsidP="003863AF">
            <w:pPr>
              <w:jc w:val="center"/>
              <w:rPr>
                <w:rFonts w:ascii="仿宋_GB2312" w:eastAsia="仿宋_GB2312" w:hAnsi="宋体"/>
                <w:sz w:val="24"/>
                <w:szCs w:val="24"/>
              </w:rPr>
            </w:pPr>
            <w:r w:rsidRPr="000228C6">
              <w:rPr>
                <w:rFonts w:ascii="仿宋_GB2312" w:eastAsia="仿宋_GB2312" w:hAnsi="宋体" w:hint="eastAsia"/>
                <w:sz w:val="24"/>
                <w:szCs w:val="24"/>
              </w:rPr>
              <w:lastRenderedPageBreak/>
              <w:t>15.4</w:t>
            </w:r>
          </w:p>
        </w:tc>
        <w:tc>
          <w:tcPr>
            <w:tcW w:w="3260" w:type="dxa"/>
            <w:tcBorders>
              <w:bottom w:val="single" w:sz="4" w:space="0" w:color="000000"/>
            </w:tcBorders>
            <w:vAlign w:val="center"/>
          </w:tcPr>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季度报告应在每个季度结束之日起15日内编制完毕；年度报告在年度披露依据监管机构要求完成编制及披露。养老金产品定期报告格式及内容以人力资源和社会保障部规定为准。</w:t>
            </w:r>
          </w:p>
        </w:tc>
        <w:tc>
          <w:tcPr>
            <w:tcW w:w="4111" w:type="dxa"/>
            <w:tcBorders>
              <w:bottom w:val="single" w:sz="4" w:space="0" w:color="000000"/>
            </w:tcBorders>
            <w:vAlign w:val="center"/>
          </w:tcPr>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季度报告应在每个季度结束之日起15日内编制完毕；年度报告应于年度结束后15个工作日内依据监管机构要求完成编制及披露。上述定期报告格式及内容以人力资源和社会保障部规定为准，提交时限如遇法定节假日可适当顺延。</w:t>
            </w:r>
          </w:p>
        </w:tc>
      </w:tr>
      <w:tr w:rsidR="003863AF" w:rsidRPr="000228C6" w:rsidTr="00557C65">
        <w:trPr>
          <w:trHeight w:val="601"/>
          <w:jc w:val="center"/>
        </w:trPr>
        <w:tc>
          <w:tcPr>
            <w:tcW w:w="1271" w:type="dxa"/>
            <w:tcBorders>
              <w:bottom w:val="single" w:sz="4" w:space="0" w:color="000000"/>
            </w:tcBorders>
            <w:vAlign w:val="center"/>
          </w:tcPr>
          <w:p w:rsidR="003863AF" w:rsidRPr="000228C6" w:rsidRDefault="003863AF" w:rsidP="003863AF">
            <w:pPr>
              <w:jc w:val="center"/>
              <w:rPr>
                <w:rFonts w:ascii="仿宋_GB2312" w:eastAsia="仿宋_GB2312" w:hAnsi="宋体"/>
                <w:sz w:val="24"/>
                <w:szCs w:val="24"/>
              </w:rPr>
            </w:pPr>
            <w:r w:rsidRPr="000228C6">
              <w:rPr>
                <w:rFonts w:ascii="仿宋_GB2312" w:eastAsia="仿宋_GB2312" w:hAnsi="宋体" w:hint="eastAsia"/>
                <w:sz w:val="24"/>
                <w:szCs w:val="24"/>
              </w:rPr>
              <w:t>16.2</w:t>
            </w:r>
          </w:p>
          <w:p w:rsidR="003863AF" w:rsidRPr="000228C6" w:rsidRDefault="003863AF" w:rsidP="003863AF">
            <w:pPr>
              <w:jc w:val="center"/>
              <w:rPr>
                <w:rFonts w:ascii="仿宋_GB2312" w:eastAsia="仿宋_GB2312" w:hAnsi="宋体"/>
                <w:sz w:val="24"/>
                <w:szCs w:val="24"/>
              </w:rPr>
            </w:pPr>
            <w:r w:rsidRPr="000228C6">
              <w:rPr>
                <w:rFonts w:ascii="仿宋_GB2312" w:eastAsia="仿宋_GB2312" w:hAnsi="宋体"/>
                <w:sz w:val="24"/>
                <w:szCs w:val="24"/>
              </w:rPr>
              <w:t>3</w:t>
            </w:r>
            <w:r w:rsidRPr="000228C6">
              <w:rPr>
                <w:rFonts w:ascii="仿宋_GB2312" w:eastAsia="仿宋_GB2312" w:hAnsi="宋体" w:hint="eastAsia"/>
                <w:sz w:val="24"/>
                <w:szCs w:val="24"/>
              </w:rPr>
              <w:t>、</w:t>
            </w:r>
            <w:r w:rsidRPr="000228C6">
              <w:rPr>
                <w:rFonts w:ascii="仿宋_GB2312" w:eastAsia="仿宋_GB2312" w:hAnsi="宋体"/>
                <w:sz w:val="24"/>
                <w:szCs w:val="24"/>
              </w:rPr>
              <w:t>积极管理风险</w:t>
            </w:r>
          </w:p>
          <w:p w:rsidR="003863AF" w:rsidRPr="000228C6" w:rsidRDefault="003863AF" w:rsidP="003863AF">
            <w:pPr>
              <w:jc w:val="center"/>
              <w:rPr>
                <w:rFonts w:ascii="仿宋_GB2312" w:eastAsia="仿宋_GB2312" w:hAnsi="宋体"/>
                <w:sz w:val="24"/>
                <w:szCs w:val="24"/>
              </w:rPr>
            </w:pPr>
            <w:r w:rsidRPr="000228C6">
              <w:rPr>
                <w:rFonts w:ascii="仿宋_GB2312" w:eastAsia="仿宋_GB2312" w:hAnsi="宋体" w:hint="eastAsia"/>
                <w:sz w:val="24"/>
                <w:szCs w:val="24"/>
              </w:rPr>
              <w:t>（删除）</w:t>
            </w:r>
          </w:p>
        </w:tc>
        <w:tc>
          <w:tcPr>
            <w:tcW w:w="3260" w:type="dxa"/>
            <w:tcBorders>
              <w:bottom w:val="single" w:sz="4" w:space="0" w:color="000000"/>
            </w:tcBorders>
            <w:vAlign w:val="center"/>
          </w:tcPr>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 xml:space="preserve">a.市场中性策略的风格风险 </w:t>
            </w:r>
          </w:p>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追求绝对收益的市场中性策略产品与普通股票型、混合型养老金产品不同。普通股票型、混合型养老金产品大多和股票市场、债券市场保持相对较高的相关性，而市场中策略产品通过卖空股指期货对冲系统性风险，其预期收益和预期风险与股票市场表现的相关性较低，主要取决于其投资策略的有效性。</w:t>
            </w:r>
          </w:p>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在股市上涨行情，市场性策略产品由于其所持有的股指期货空头头寸，其表现可能会低于不采用对冲策略的普通股票型和混合养老金产品的收益水平。这种表现是市场中性策略产品特有的投资策略——采用持续对冲策略所引发的结果，并不表明着投资管理人投资水平低于市场平均水平。</w:t>
            </w:r>
          </w:p>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b.投资策略有效性风险</w:t>
            </w:r>
          </w:p>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本产品的投资策略包括指数增强和对冲两部分，具体通过构建现货组合同时卖空股指期货合约以对冲市场系统性风险，力求获得指数增强现货组合超越股指期货合约表现的超额收益。若本产品投资策略有效，将获得正的超额收益，产品份额净值上涨。若本产品的投资策略无效，将获得负的超额收益，产品的份额净值下跌。极端情况若本产品的投资策略无效，本产品持有的现货组合下跌，同时卖空股期约上涨，可能在股票市场和期货市场同时承受损失，产品的份额净值将下跌。</w:t>
            </w:r>
          </w:p>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c.量化模型及金融数据的风险</w:t>
            </w:r>
          </w:p>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本产品应用量化模型和外部提供商的金融数据协助进行选股。由于量化模型是基于过往投资实践的知识开发的，面对不断变换市场环境和不断完善的理论方法，模型的部分具体设定依赖于过往经验认知，参数假设的变动可能影响模型的整体效果稳定性，模型效果的验证性依赖于历史数据，在实际运作过程中可能会因为市场环境的变化，影响靠模型构建的投资组合达到其预期的投资效果。</w:t>
            </w:r>
          </w:p>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本产品通过采集金融数据、数量化地分析股票及提供投资建议。数据通常来自不同的数据提供商，且在进行数据清洗、加工后作为量化模型的输入变量。采集到的原始金融数据的错误或不完整、预处理过程中的缺陷都可能直接影响量化模型的输出结果，形成数据风险，对产品的业绩产生不利的影响。</w:t>
            </w:r>
          </w:p>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d.股指期货特有的风险</w:t>
            </w:r>
          </w:p>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基差风险：在利用股指期货对冲市场系统风险时，养老金产品的资产可能因为股指期货合约与标的指数价格变动方向不一致而承担基差风险。因存在基差风险，在股指期货合约展期操作时，养老金产品的资产可能因股指期货合约之间价差的异常变动而遭受展期风险。</w:t>
            </w:r>
          </w:p>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股指期货展期时的流动性风险：本养老金产品持有的股指期货头寸需要进行展期操作，平仓持有的股指期货合约，换成其它月份股指期货合约，当股指期货市场流动性不佳、交易量不足时，将会导致展期操作执行难度提高、交易成本增加，从而可能对养老金产品的资产造成不利的影响。</w:t>
            </w:r>
          </w:p>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期货盯市结算制度带来的现金管理风险：股指期货采取保证金交易制度，保证金账户实行当日无负债结算制度，资金管理要求高。当市场持续向不利方向波动导致期货保证金不足，如果未能在规定的时间内补足保证金，按规定将被强制平仓，可能给养老金产品的资产带来超出预期的损失。</w:t>
            </w:r>
          </w:p>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到期日风险：股指期货合约到期时，本养老金产品的账户如仍持有未平仓合约，交易所将按照交割结算价将账户持有的合约进行现金交割，因此无法继续持有到期合约，具有到期日风险。</w:t>
            </w:r>
          </w:p>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对手方风险：投资管理人运用养老金产品的资产投资于股指期货时，会尽力选择资信状况优良、风险控制能力强的期货公司作为经纪商，但不能杜绝在极端情况下，所选择的期货公司在交易过程中存在违法、违规经营行为或破产清算导致养老金产品的资产遭受损失。</w:t>
            </w:r>
          </w:p>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连带风险：为养老金产品的资产进行结算的结算会员或该结算会员下的其他投资者出现保证金不足、又未能在规定的时间内补足，或因其他原因导致中金所对该结算会员下的经纪账户强行平仓时，养老金产品的资产可能因被连带强行平仓而遭受损失。</w:t>
            </w:r>
          </w:p>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未平仓合约不能继续持有风险：由于国家法律、法规、政策的变化、中金所交易规则的修改、紧急措施的出台等原因，养老金产品的资产持有的未平仓合约可能无法继续持有，养老金产品的资产必须承担由此导致的损失。</w:t>
            </w:r>
          </w:p>
        </w:tc>
        <w:tc>
          <w:tcPr>
            <w:tcW w:w="4111" w:type="dxa"/>
            <w:tcBorders>
              <w:bottom w:val="single" w:sz="4" w:space="0" w:color="000000"/>
            </w:tcBorders>
            <w:vAlign w:val="center"/>
          </w:tcPr>
          <w:p w:rsidR="003863AF" w:rsidRPr="000228C6" w:rsidRDefault="003863AF" w:rsidP="003863AF">
            <w:pPr>
              <w:rPr>
                <w:rFonts w:ascii="仿宋_GB2312" w:eastAsia="仿宋_GB2312" w:hAnsi="宋体"/>
                <w:sz w:val="24"/>
                <w:szCs w:val="24"/>
              </w:rPr>
            </w:pPr>
          </w:p>
        </w:tc>
      </w:tr>
      <w:tr w:rsidR="00DA34BF" w:rsidRPr="000228C6" w:rsidTr="00557C65">
        <w:trPr>
          <w:trHeight w:val="601"/>
          <w:jc w:val="center"/>
        </w:trPr>
        <w:tc>
          <w:tcPr>
            <w:tcW w:w="1271" w:type="dxa"/>
            <w:tcBorders>
              <w:bottom w:val="single" w:sz="4" w:space="0" w:color="000000"/>
            </w:tcBorders>
            <w:vAlign w:val="center"/>
          </w:tcPr>
          <w:p w:rsidR="00DA34BF" w:rsidRPr="000228C6" w:rsidRDefault="00DA34BF" w:rsidP="003863AF">
            <w:pPr>
              <w:jc w:val="center"/>
              <w:rPr>
                <w:rFonts w:ascii="仿宋_GB2312" w:eastAsia="仿宋_GB2312" w:hAnsi="宋体"/>
                <w:sz w:val="24"/>
                <w:szCs w:val="24"/>
              </w:rPr>
            </w:pPr>
            <w:r w:rsidRPr="000228C6">
              <w:rPr>
                <w:rFonts w:ascii="仿宋_GB2312" w:eastAsia="仿宋_GB2312" w:hAnsi="宋体" w:hint="eastAsia"/>
                <w:sz w:val="24"/>
                <w:szCs w:val="24"/>
              </w:rPr>
              <w:t>17.1</w:t>
            </w:r>
          </w:p>
        </w:tc>
        <w:tc>
          <w:tcPr>
            <w:tcW w:w="3260" w:type="dxa"/>
            <w:tcBorders>
              <w:bottom w:val="single" w:sz="4" w:space="0" w:color="000000"/>
            </w:tcBorders>
            <w:vAlign w:val="center"/>
          </w:tcPr>
          <w:p w:rsidR="00DA34BF" w:rsidRPr="000228C6" w:rsidRDefault="00DA34BF" w:rsidP="00DA34BF">
            <w:pPr>
              <w:rPr>
                <w:rFonts w:ascii="仿宋_GB2312" w:eastAsia="仿宋_GB2312" w:hAnsi="宋体"/>
                <w:sz w:val="24"/>
                <w:szCs w:val="24"/>
              </w:rPr>
            </w:pPr>
            <w:r w:rsidRPr="000228C6">
              <w:rPr>
                <w:rFonts w:ascii="仿宋_GB2312" w:eastAsia="仿宋_GB2312" w:hAnsi="宋体" w:hint="eastAsia"/>
                <w:sz w:val="24"/>
                <w:szCs w:val="24"/>
              </w:rPr>
              <w:t>本合同及养老金产品的变更。</w:t>
            </w:r>
          </w:p>
          <w:p w:rsidR="00DA34BF" w:rsidRPr="000228C6" w:rsidRDefault="00DA34BF" w:rsidP="00DA34BF">
            <w:pPr>
              <w:rPr>
                <w:rFonts w:ascii="仿宋_GB2312" w:eastAsia="仿宋_GB2312" w:hAnsi="宋体"/>
                <w:sz w:val="24"/>
                <w:szCs w:val="24"/>
              </w:rPr>
            </w:pPr>
            <w:r w:rsidRPr="000228C6">
              <w:rPr>
                <w:rFonts w:ascii="仿宋_GB2312" w:eastAsia="仿宋_GB2312" w:hAnsi="宋体" w:hint="eastAsia"/>
                <w:sz w:val="24"/>
                <w:szCs w:val="24"/>
              </w:rPr>
              <w:t>本合同生效后，如需变更，须经投资管理人与托管人协商一致并达成书面协议。</w:t>
            </w:r>
          </w:p>
        </w:tc>
        <w:tc>
          <w:tcPr>
            <w:tcW w:w="4111" w:type="dxa"/>
            <w:tcBorders>
              <w:bottom w:val="single" w:sz="4" w:space="0" w:color="000000"/>
            </w:tcBorders>
            <w:vAlign w:val="center"/>
          </w:tcPr>
          <w:p w:rsidR="00DA34BF" w:rsidRPr="000228C6" w:rsidRDefault="00DA34BF" w:rsidP="00DA34BF">
            <w:pPr>
              <w:rPr>
                <w:rFonts w:ascii="仿宋_GB2312" w:eastAsia="仿宋_GB2312" w:hAnsi="宋体"/>
                <w:sz w:val="24"/>
                <w:szCs w:val="24"/>
              </w:rPr>
            </w:pPr>
            <w:r w:rsidRPr="000228C6">
              <w:rPr>
                <w:rFonts w:ascii="仿宋_GB2312" w:eastAsia="仿宋_GB2312" w:hAnsi="宋体" w:hint="eastAsia"/>
                <w:sz w:val="24"/>
                <w:szCs w:val="24"/>
              </w:rPr>
              <w:t>本合同及养老金产品的变更。</w:t>
            </w:r>
          </w:p>
          <w:p w:rsidR="00DA34BF" w:rsidRPr="000228C6" w:rsidRDefault="00DA34BF" w:rsidP="00DA34BF">
            <w:pPr>
              <w:rPr>
                <w:rFonts w:ascii="仿宋_GB2312" w:eastAsia="仿宋_GB2312" w:hAnsi="宋体"/>
                <w:sz w:val="24"/>
                <w:szCs w:val="24"/>
              </w:rPr>
            </w:pPr>
            <w:r w:rsidRPr="000228C6">
              <w:rPr>
                <w:rFonts w:ascii="仿宋_GB2312" w:eastAsia="仿宋_GB2312" w:hAnsi="宋体" w:hint="eastAsia"/>
                <w:sz w:val="24"/>
                <w:szCs w:val="24"/>
              </w:rPr>
              <w:t>本合同生效后，如需变更，须经投资管理人与托管人协商一致。</w:t>
            </w:r>
          </w:p>
        </w:tc>
      </w:tr>
      <w:tr w:rsidR="003863AF" w:rsidRPr="000228C6" w:rsidTr="00557C65">
        <w:trPr>
          <w:trHeight w:val="601"/>
          <w:jc w:val="center"/>
        </w:trPr>
        <w:tc>
          <w:tcPr>
            <w:tcW w:w="8642" w:type="dxa"/>
            <w:gridSpan w:val="3"/>
            <w:tcBorders>
              <w:bottom w:val="single" w:sz="4" w:space="0" w:color="000000"/>
            </w:tcBorders>
            <w:vAlign w:val="center"/>
          </w:tcPr>
          <w:p w:rsidR="003863AF" w:rsidRPr="000228C6" w:rsidRDefault="003863AF" w:rsidP="003863AF">
            <w:pPr>
              <w:jc w:val="left"/>
              <w:rPr>
                <w:rFonts w:ascii="仿宋_GB2312" w:eastAsia="仿宋_GB2312"/>
                <w:b/>
                <w:sz w:val="24"/>
                <w:szCs w:val="24"/>
              </w:rPr>
            </w:pPr>
            <w:r w:rsidRPr="000228C6">
              <w:rPr>
                <w:rFonts w:ascii="仿宋_GB2312" w:eastAsia="仿宋_GB2312" w:hint="eastAsia"/>
                <w:b/>
                <w:sz w:val="24"/>
                <w:szCs w:val="24"/>
              </w:rPr>
              <w:t>投资说明书变更内容</w:t>
            </w:r>
          </w:p>
        </w:tc>
      </w:tr>
      <w:tr w:rsidR="003863AF" w:rsidRPr="000228C6" w:rsidTr="00557C65">
        <w:trPr>
          <w:trHeight w:val="601"/>
          <w:jc w:val="center"/>
        </w:trPr>
        <w:tc>
          <w:tcPr>
            <w:tcW w:w="1271" w:type="dxa"/>
            <w:tcBorders>
              <w:bottom w:val="single" w:sz="4" w:space="0" w:color="000000"/>
            </w:tcBorders>
            <w:vAlign w:val="center"/>
          </w:tcPr>
          <w:p w:rsidR="003863AF" w:rsidRPr="000228C6" w:rsidRDefault="003863AF" w:rsidP="003863AF">
            <w:pPr>
              <w:jc w:val="center"/>
              <w:rPr>
                <w:rFonts w:ascii="仿宋_GB2312" w:eastAsia="仿宋_GB2312" w:hAnsi="宋体"/>
                <w:sz w:val="24"/>
                <w:szCs w:val="24"/>
              </w:rPr>
            </w:pPr>
            <w:r w:rsidRPr="000228C6">
              <w:rPr>
                <w:rFonts w:ascii="仿宋_GB2312" w:eastAsia="仿宋_GB2312" w:hAnsi="宋体" w:hint="eastAsia"/>
                <w:sz w:val="24"/>
                <w:szCs w:val="24"/>
              </w:rPr>
              <w:t>章节</w:t>
            </w:r>
          </w:p>
        </w:tc>
        <w:tc>
          <w:tcPr>
            <w:tcW w:w="3260" w:type="dxa"/>
            <w:tcBorders>
              <w:bottom w:val="single" w:sz="4" w:space="0" w:color="000000"/>
            </w:tcBorders>
            <w:vAlign w:val="center"/>
          </w:tcPr>
          <w:p w:rsidR="003863AF" w:rsidRPr="000228C6" w:rsidRDefault="003863AF" w:rsidP="003863AF">
            <w:pPr>
              <w:jc w:val="center"/>
              <w:rPr>
                <w:rFonts w:ascii="仿宋_GB2312" w:eastAsia="仿宋_GB2312" w:hAnsi="宋体"/>
                <w:sz w:val="24"/>
                <w:szCs w:val="24"/>
              </w:rPr>
            </w:pPr>
            <w:r w:rsidRPr="000228C6">
              <w:rPr>
                <w:rFonts w:ascii="仿宋_GB2312" w:eastAsia="仿宋_GB2312" w:hAnsi="宋体" w:hint="eastAsia"/>
                <w:sz w:val="24"/>
                <w:szCs w:val="24"/>
              </w:rPr>
              <w:t>原投资说明书内容</w:t>
            </w:r>
          </w:p>
        </w:tc>
        <w:tc>
          <w:tcPr>
            <w:tcW w:w="4111" w:type="dxa"/>
            <w:tcBorders>
              <w:bottom w:val="single" w:sz="4" w:space="0" w:color="000000"/>
            </w:tcBorders>
            <w:vAlign w:val="center"/>
          </w:tcPr>
          <w:p w:rsidR="003863AF" w:rsidRPr="000228C6" w:rsidRDefault="003863AF" w:rsidP="003863AF">
            <w:pPr>
              <w:jc w:val="center"/>
              <w:rPr>
                <w:rFonts w:ascii="仿宋_GB2312" w:eastAsia="仿宋_GB2312" w:hAnsi="宋体"/>
                <w:sz w:val="24"/>
                <w:szCs w:val="24"/>
              </w:rPr>
            </w:pPr>
            <w:r w:rsidRPr="000228C6">
              <w:rPr>
                <w:rFonts w:ascii="仿宋_GB2312" w:eastAsia="仿宋_GB2312" w:hAnsi="宋体" w:hint="eastAsia"/>
                <w:sz w:val="24"/>
                <w:szCs w:val="24"/>
              </w:rPr>
              <w:t>变更后对应内容</w:t>
            </w:r>
          </w:p>
        </w:tc>
      </w:tr>
      <w:tr w:rsidR="003863AF" w:rsidRPr="000228C6" w:rsidTr="00557C65">
        <w:trPr>
          <w:jc w:val="center"/>
        </w:trPr>
        <w:tc>
          <w:tcPr>
            <w:tcW w:w="1271" w:type="dxa"/>
            <w:vAlign w:val="center"/>
          </w:tcPr>
          <w:p w:rsidR="003863AF" w:rsidRPr="000228C6" w:rsidRDefault="003863AF" w:rsidP="003863AF">
            <w:pPr>
              <w:jc w:val="center"/>
              <w:rPr>
                <w:rFonts w:ascii="仿宋_GB2312" w:eastAsia="仿宋_GB2312" w:hAnsi="宋体"/>
                <w:sz w:val="24"/>
                <w:szCs w:val="24"/>
              </w:rPr>
            </w:pPr>
            <w:r w:rsidRPr="000228C6">
              <w:rPr>
                <w:rFonts w:ascii="仿宋_GB2312" w:eastAsia="仿宋_GB2312" w:hAnsi="宋体" w:hint="eastAsia"/>
                <w:sz w:val="24"/>
                <w:szCs w:val="24"/>
              </w:rPr>
              <w:t>重要提示</w:t>
            </w:r>
          </w:p>
        </w:tc>
        <w:tc>
          <w:tcPr>
            <w:tcW w:w="3260" w:type="dxa"/>
            <w:vAlign w:val="center"/>
          </w:tcPr>
          <w:p w:rsidR="003863AF" w:rsidRPr="000228C6" w:rsidRDefault="003863AF" w:rsidP="00C65612">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《企业年金试行办法》（劳动和社会保障部令第20号）</w:t>
            </w:r>
          </w:p>
        </w:tc>
        <w:tc>
          <w:tcPr>
            <w:tcW w:w="4111" w:type="dxa"/>
            <w:vAlign w:val="center"/>
          </w:tcPr>
          <w:p w:rsidR="003863AF" w:rsidRPr="000228C6" w:rsidRDefault="003863AF" w:rsidP="00C65612">
            <w:pPr>
              <w:rPr>
                <w:rFonts w:ascii="仿宋_GB2312" w:eastAsia="仿宋_GB2312"/>
                <w:sz w:val="24"/>
                <w:szCs w:val="24"/>
                <w:shd w:val="clear" w:color="auto" w:fill="FFFFFF"/>
              </w:rPr>
            </w:pPr>
            <w:r w:rsidRPr="000228C6">
              <w:rPr>
                <w:rFonts w:ascii="仿宋_GB2312" w:eastAsia="仿宋_GB2312" w:hint="eastAsia"/>
                <w:sz w:val="24"/>
                <w:szCs w:val="24"/>
                <w:shd w:val="clear" w:color="auto" w:fill="FFFFFF"/>
              </w:rPr>
              <w:t>《企业年金办法》（人力资源和社会保障部、财政部令第36号）</w:t>
            </w:r>
          </w:p>
        </w:tc>
      </w:tr>
      <w:tr w:rsidR="003863AF" w:rsidRPr="000228C6" w:rsidTr="00557C65">
        <w:trPr>
          <w:jc w:val="center"/>
        </w:trPr>
        <w:tc>
          <w:tcPr>
            <w:tcW w:w="1271" w:type="dxa"/>
            <w:vAlign w:val="center"/>
          </w:tcPr>
          <w:p w:rsidR="003863AF" w:rsidRPr="000228C6" w:rsidRDefault="003863AF" w:rsidP="003863AF">
            <w:pPr>
              <w:jc w:val="center"/>
              <w:rPr>
                <w:rFonts w:ascii="仿宋_GB2312" w:eastAsia="仿宋_GB2312" w:hAnsi="宋体"/>
                <w:sz w:val="24"/>
                <w:szCs w:val="24"/>
              </w:rPr>
            </w:pPr>
            <w:r w:rsidRPr="000228C6">
              <w:rPr>
                <w:rFonts w:ascii="仿宋_GB2312" w:eastAsia="仿宋_GB2312" w:hAnsi="宋体" w:hint="eastAsia"/>
                <w:sz w:val="24"/>
                <w:szCs w:val="24"/>
              </w:rPr>
              <w:t>第二章 养老金</w:t>
            </w:r>
            <w:r w:rsidRPr="000228C6">
              <w:rPr>
                <w:rFonts w:ascii="仿宋_GB2312" w:eastAsia="仿宋_GB2312" w:hAnsi="宋体"/>
                <w:sz w:val="24"/>
                <w:szCs w:val="24"/>
              </w:rPr>
              <w:t>产品概况</w:t>
            </w:r>
          </w:p>
        </w:tc>
        <w:tc>
          <w:tcPr>
            <w:tcW w:w="3260" w:type="dxa"/>
          </w:tcPr>
          <w:p w:rsidR="003863AF" w:rsidRPr="000228C6" w:rsidRDefault="003863AF" w:rsidP="003863AF">
            <w:pPr>
              <w:rPr>
                <w:rFonts w:ascii="仿宋_GB2312" w:eastAsia="仿宋_GB2312" w:hAnsi="宋体"/>
                <w:bCs/>
                <w:sz w:val="24"/>
                <w:szCs w:val="24"/>
              </w:rPr>
            </w:pPr>
            <w:r w:rsidRPr="000228C6">
              <w:rPr>
                <w:rFonts w:ascii="仿宋_GB2312" w:eastAsia="仿宋_GB2312" w:hAnsi="宋体" w:hint="eastAsia"/>
                <w:bCs/>
                <w:sz w:val="24"/>
                <w:szCs w:val="24"/>
              </w:rPr>
              <w:t>投资</w:t>
            </w:r>
            <w:r w:rsidRPr="000228C6">
              <w:rPr>
                <w:rFonts w:ascii="仿宋_GB2312" w:eastAsia="仿宋_GB2312" w:hAnsi="宋体"/>
                <w:bCs/>
                <w:sz w:val="24"/>
                <w:szCs w:val="24"/>
              </w:rPr>
              <w:t>目标：</w:t>
            </w:r>
          </w:p>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在有效控制风险的基础上，在公司股票基本面研究的基础上，再应用量化精选策略，运用股指期货对冲市场系统风险，追求长期稳健增值。</w:t>
            </w:r>
          </w:p>
        </w:tc>
        <w:tc>
          <w:tcPr>
            <w:tcW w:w="4111" w:type="dxa"/>
          </w:tcPr>
          <w:p w:rsidR="003863AF" w:rsidRPr="000228C6" w:rsidRDefault="003863AF" w:rsidP="003863AF">
            <w:pPr>
              <w:rPr>
                <w:rFonts w:ascii="仿宋_GB2312" w:eastAsia="仿宋_GB2312" w:hAnsi="宋体"/>
                <w:sz w:val="24"/>
                <w:szCs w:val="24"/>
              </w:rPr>
            </w:pPr>
            <w:r w:rsidRPr="000228C6">
              <w:rPr>
                <w:rFonts w:ascii="仿宋_GB2312" w:eastAsia="仿宋_GB2312" w:hAnsi="宋体" w:hint="eastAsia"/>
                <w:sz w:val="24"/>
                <w:szCs w:val="24"/>
              </w:rPr>
              <w:t>投资</w:t>
            </w:r>
            <w:r w:rsidRPr="000228C6">
              <w:rPr>
                <w:rFonts w:ascii="仿宋_GB2312" w:eastAsia="仿宋_GB2312" w:hAnsi="宋体"/>
                <w:sz w:val="24"/>
                <w:szCs w:val="24"/>
              </w:rPr>
              <w:t>目标：</w:t>
            </w:r>
          </w:p>
          <w:p w:rsidR="003863AF" w:rsidRPr="000228C6" w:rsidRDefault="003863AF" w:rsidP="003863AF">
            <w:pPr>
              <w:rPr>
                <w:rFonts w:ascii="仿宋_GB2312" w:eastAsia="仿宋_GB2312"/>
                <w:sz w:val="24"/>
                <w:szCs w:val="24"/>
                <w:shd w:val="clear" w:color="auto" w:fill="FFFFFF"/>
              </w:rPr>
            </w:pPr>
            <w:r w:rsidRPr="000228C6">
              <w:rPr>
                <w:rFonts w:ascii="仿宋_GB2312" w:eastAsia="仿宋_GB2312" w:hAnsi="宋体" w:hint="eastAsia"/>
                <w:sz w:val="24"/>
                <w:szCs w:val="24"/>
              </w:rPr>
              <w:t>通过灵活运用多种投资策略，充分挖掘和利用市场中潜在的投资机会，谋求本产品资产的长期、持续增值。</w:t>
            </w:r>
          </w:p>
        </w:tc>
      </w:tr>
      <w:tr w:rsidR="00595F9F" w:rsidRPr="000228C6" w:rsidTr="00557C65">
        <w:trPr>
          <w:jc w:val="center"/>
        </w:trPr>
        <w:tc>
          <w:tcPr>
            <w:tcW w:w="1271" w:type="dxa"/>
            <w:vAlign w:val="center"/>
          </w:tcPr>
          <w:p w:rsidR="00595F9F" w:rsidRPr="000228C6" w:rsidRDefault="00595F9F" w:rsidP="00595F9F">
            <w:pPr>
              <w:jc w:val="center"/>
              <w:rPr>
                <w:rFonts w:ascii="仿宋_GB2312" w:eastAsia="仿宋_GB2312" w:hAnsi="宋体"/>
                <w:sz w:val="24"/>
                <w:szCs w:val="24"/>
              </w:rPr>
            </w:pPr>
            <w:r w:rsidRPr="000228C6">
              <w:rPr>
                <w:rFonts w:ascii="仿宋_GB2312" w:eastAsia="仿宋_GB2312" w:hAnsi="宋体" w:hint="eastAsia"/>
                <w:sz w:val="24"/>
                <w:szCs w:val="24"/>
              </w:rPr>
              <w:t>第二章 养老金</w:t>
            </w:r>
            <w:r w:rsidRPr="000228C6">
              <w:rPr>
                <w:rFonts w:ascii="仿宋_GB2312" w:eastAsia="仿宋_GB2312" w:hAnsi="宋体"/>
                <w:sz w:val="24"/>
                <w:szCs w:val="24"/>
              </w:rPr>
              <w:t>产品概况</w:t>
            </w:r>
          </w:p>
        </w:tc>
        <w:tc>
          <w:tcPr>
            <w:tcW w:w="3260" w:type="dxa"/>
            <w:vAlign w:val="center"/>
          </w:tcPr>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投资</w:t>
            </w:r>
            <w:r w:rsidRPr="000228C6">
              <w:rPr>
                <w:rFonts w:ascii="仿宋_GB2312" w:eastAsia="仿宋_GB2312" w:hAnsi="宋体"/>
                <w:bCs/>
                <w:sz w:val="24"/>
                <w:szCs w:val="24"/>
              </w:rPr>
              <w:t>策略：</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1）资产配置策略：在资产配置方面，本产品主要运用股指期货对持有的股票、股票型基金等权益类多头组合进行对冲操作，规避权益类多头组合的市场系统性风险；同时预留必要的现金，以应对保证金的增加要求或投资者的赎回申请。</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（2）股票投资策略：通过对不同行业深入的基本面研究，根据行业发展现状、公司盈利能力、成长能力等因素构建行业优选股票池。在研究成果基础上进行排查，剔除部分风险过高的股票，进一步精化股票池。</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在股票池中进行多因子选股，每月调仓，并根据不同因子类别和效果赋予不同的权重，组合因子优化整体选股效果。股票因子池每半年重新测试一次，使因子适用于不同的市场环境，同时确保股票组合的整体风险处于可控范围内。</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3）股指期货投资策略：本产品主要运用股指期货合约进行套期保值操作，规避市场系统性风险。在完全套保的理念下，本产品根据股票多头组合的市值计算股指期货合约卖单量，并根据市场变化对股指期货合约卖单量进行动态跟踪并适时调整。同时，综合考虑定价关系、套利机会、流动性以及保证金要求等因素，在不同股指期货合约之间进行动态配置，并适时进行合约展期操作，优化展期时机，捕捉更多基差收益，以求提高组合收益和套期保值的效果。</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本合同有效期内，若关于养老金产品参与融资融券、转融通业务及投资期权等其他金融工具的相关规定颁布实施，投资管理人将按照人力资源社会保障部、中国证监会的规定及其他相关法律法规的要求，根据市场情况选择合适的衍生工具对冲市场系统风险。</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4）其他投资策略：本产品基于流动性管理及策略性投资的需要，将运用多种积极管理增值策略投资于证券投资基金、债券、商业银行理财产品、信托产品、基础设施债权计划、特定客户资产管理计划和货币市场工具，在确保养老金产品资产流动性的基础上，有效利用养老金产品的资产，提高投资收益。</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（5）建仓期策略：根据市场波动性及其走向趋势，采用时间平均法调整建仓节奏，控制建仓成本，同时在组合获利达到既定目标时及时兑现，以实现稳健收益目标。</w:t>
            </w:r>
          </w:p>
        </w:tc>
        <w:tc>
          <w:tcPr>
            <w:tcW w:w="4111" w:type="dxa"/>
            <w:vAlign w:val="center"/>
          </w:tcPr>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投资</w:t>
            </w:r>
            <w:r w:rsidRPr="000228C6">
              <w:rPr>
                <w:rFonts w:ascii="仿宋_GB2312" w:eastAsia="仿宋_GB2312" w:hAnsi="宋体"/>
                <w:bCs/>
                <w:sz w:val="24"/>
                <w:szCs w:val="24"/>
              </w:rPr>
              <w:t>策略：</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1.资产配置策略</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本产品将结合宏观经济环境、政策形势、证券市场走势的综合分析，主动判断市场时机，进行积极的资产配置，合理确定产品在股票、债券等各类资产类别上的投资比例，以最大限度地降低投资组合的风险、提高收益。</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2.股票投资策略</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1）个股精选策略：通过对不同行业深入的基本面研究，根据行业发展现状、公司盈利能力、成长能力等因素构建行业优选股票池。在研究成果基础上进行排查，剔除部分风险过高的股票，进一步精化股票池。在股票池中进行多因子选股或多因素选股，并通过对市场海量数据的深度挖掘和高效处理，不断自主优化和改进投资策略，紧跟市场动态，以实现长期超额收益。</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2）新股申购策略：本产品将研究首次发行（IPO）股票及增发新股的上市公司基本面，根据股票市场整体定价水平，估计新股上市交易的合理价格，同时参考一级市场资金供求关系，制定相应的新股申购策略。本产品对于通过参与新股认购所获得的股票，将根据其市场价格相对于其合理内在价值的高低，确定继续持有或者卖出。</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3. 债券投资策略</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本产品将在保持组合低波动性的前提下，运用多种积极管理增值策略，追求稳健回报。</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（1）久期调整策略：本产品将根据对利率水平的预期，在预期利率下降时，增加组合久期，以较多地获得债券价格上升带来的收益，在预期利率上升时，减小组合久期，以规避债券价格下降的风险。</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2）收益率曲线策略：在久期确定的基础上，根据对收益率曲线形状变化的预测，采用子弹型策略、哑铃型策略或梯形策略，在长期、中期和短期债券间进行配置，以从长、中、短期债券的相对价格变化中获利。</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3）债券类属配置策略：根据国债、金融债、企业债等不同债券板块之间的相对投资价值分析，增持价值被相对低估的债券板块，减持价值被相对高估的债券板块，借以取得较高收益。其中，随着债券市场的发展，本产品将加强对企业债、资产抵押债券等新品种的投资，主要通过信用风险的分析和管理，获取超额收益。</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4）骑乘策略：通过分析收益率曲线各期限段的利差情况，买入收益率曲线最陡峭处所对应的期限债券，随着本产品持有债券时间的延长，债券的剩余期限将缩短，到期收益率将下降，产品从而可获得资本利得收入。</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5）相对价值策略：相对价值策略包括研究国债与金融债之间的信用利差、交易所与银行间的市场利差等。金融债与国债的利差由税收因素形成，利差的大小主要受市场资金供给充裕程度决定，资金供给越充分上述利差将越小。交易所与银行间的联动性随着市场改革势必渐渐加强，两市之间的利差能够提供一些增值机会。</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6）信用利差策略：企业债与国债的利差曲线理论上受经济波动与企业生命周期影响，相同资信等级的公司债在利差期限结构上服从凸性回归均衡的规律。内外部评级的差别与信用等级的变动会造成相对利差的波动，另外在经济上升或下降的周期中企业债利差将缩小或扩大。投资管理人可以通过对内外部评级、利差曲线研究和经济周期的判断主动采用相对利差投资策略。</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7）回购放大策略：该策略在资金相对充裕的情况下是风险较低的投资策略。即在基础组合的基础上，使用基础组合持有的债券进行回购放大融入短期资金滚动操作，同时选择2年以下的交易所和银行间品种进行投资以获取骑乘及短期债券与货币市场利率的利差。</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8）可转债投资策略：可转债不同于一般的企业债券，其投资人具有在一定条件下转股、回售的权利，因此其理论价值等于作为普通债券的基础价值加上可转债内含选择权的价值。本产品投资于可转债，主要目标是降低产品净值的下行风险，产品投资的可转债可以转股，以保留参与股票升值的收益潜力。</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a.积极管理策略</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可转债内含选择权定价是决定可转债投资价值的关键因素。本产品将采取积极管理策略，重视对可转债对应股票的分析与研究，选择那些公司行业景气趋势回升、成长性好、估值水平偏低或合理的转债进行投资，以获取收益。</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b.一级市场申购策略</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目前，可转债均采取定价发行，对于那些发行条款优惠、期权价值较高、公司基本面优良的可转债，因供求不平衡，会产生较大的一、二级市场价差。因此，为增加组合收益，本产品将在充分研究的基础上，参与可转换债券的一级市场申购，在严格控制风险的前提下获得稳定收益。</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4. 建仓期策略</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根据市场波动性及其走向趋势，采用时间平均法调整建仓节奏，控制建仓成本，同时在组合获利达到既定目标时及时兑现，以实现稳健收益目标。</w:t>
            </w:r>
          </w:p>
        </w:tc>
      </w:tr>
      <w:tr w:rsidR="00595F9F" w:rsidRPr="000228C6" w:rsidTr="00557C65">
        <w:trPr>
          <w:jc w:val="center"/>
        </w:trPr>
        <w:tc>
          <w:tcPr>
            <w:tcW w:w="1271" w:type="dxa"/>
            <w:vAlign w:val="center"/>
          </w:tcPr>
          <w:p w:rsidR="00595F9F" w:rsidRPr="000228C6" w:rsidRDefault="00595F9F" w:rsidP="00595F9F">
            <w:pPr>
              <w:jc w:val="center"/>
              <w:rPr>
                <w:rFonts w:ascii="仿宋_GB2312" w:eastAsia="仿宋_GB2312" w:hAnsi="宋体"/>
                <w:sz w:val="24"/>
                <w:szCs w:val="24"/>
              </w:rPr>
            </w:pPr>
            <w:r w:rsidRPr="000228C6">
              <w:rPr>
                <w:rFonts w:ascii="仿宋_GB2312" w:eastAsia="仿宋_GB2312" w:hAnsi="宋体" w:hint="eastAsia"/>
                <w:sz w:val="24"/>
                <w:szCs w:val="24"/>
              </w:rPr>
              <w:t>第二章 养老金</w:t>
            </w:r>
            <w:r w:rsidRPr="000228C6">
              <w:rPr>
                <w:rFonts w:ascii="仿宋_GB2312" w:eastAsia="仿宋_GB2312" w:hAnsi="宋体"/>
                <w:sz w:val="24"/>
                <w:szCs w:val="24"/>
              </w:rPr>
              <w:t>产品概况</w:t>
            </w:r>
          </w:p>
        </w:tc>
        <w:tc>
          <w:tcPr>
            <w:tcW w:w="3260" w:type="dxa"/>
            <w:vAlign w:val="center"/>
          </w:tcPr>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业绩</w:t>
            </w:r>
            <w:r w:rsidRPr="000228C6">
              <w:rPr>
                <w:rFonts w:ascii="仿宋_GB2312" w:eastAsia="仿宋_GB2312" w:hAnsi="宋体"/>
                <w:bCs/>
                <w:sz w:val="24"/>
                <w:szCs w:val="24"/>
              </w:rPr>
              <w:t>比较基准：</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sz w:val="24"/>
                <w:szCs w:val="24"/>
              </w:rPr>
              <w:t>同期中国人民银行公布的三年定期存款税后基准利率，并随利率变动实时调整</w:t>
            </w:r>
          </w:p>
        </w:tc>
        <w:tc>
          <w:tcPr>
            <w:tcW w:w="4111" w:type="dxa"/>
            <w:vAlign w:val="center"/>
          </w:tcPr>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业绩</w:t>
            </w:r>
            <w:r w:rsidRPr="000228C6">
              <w:rPr>
                <w:rFonts w:ascii="仿宋_GB2312" w:eastAsia="仿宋_GB2312" w:hAnsi="宋体"/>
                <w:bCs/>
                <w:sz w:val="24"/>
                <w:szCs w:val="24"/>
              </w:rPr>
              <w:t>比较基准：</w:t>
            </w:r>
          </w:p>
          <w:p w:rsidR="00595F9F" w:rsidRPr="000228C6" w:rsidRDefault="00595F9F" w:rsidP="00595F9F">
            <w:pPr>
              <w:rPr>
                <w:rFonts w:ascii="仿宋_GB2312" w:eastAsia="仿宋_GB2312" w:hAnsi="宋体"/>
                <w:bCs/>
                <w:sz w:val="24"/>
                <w:szCs w:val="24"/>
              </w:rPr>
            </w:pPr>
            <w:r w:rsidRPr="000228C6">
              <w:rPr>
                <w:rFonts w:ascii="仿宋_GB2312" w:eastAsia="仿宋_GB2312" w:hAnsi="宋体" w:hint="eastAsia"/>
                <w:bCs/>
                <w:sz w:val="24"/>
                <w:szCs w:val="24"/>
              </w:rPr>
              <w:t>同期沪深300指数收益率</w:t>
            </w:r>
          </w:p>
        </w:tc>
      </w:tr>
      <w:tr w:rsidR="00307E38" w:rsidRPr="000228C6" w:rsidTr="00557C65">
        <w:trPr>
          <w:jc w:val="center"/>
        </w:trPr>
        <w:tc>
          <w:tcPr>
            <w:tcW w:w="1271" w:type="dxa"/>
            <w:vAlign w:val="center"/>
          </w:tcPr>
          <w:p w:rsidR="00307E38" w:rsidRPr="000228C6" w:rsidRDefault="00307E38" w:rsidP="00307E38">
            <w:pPr>
              <w:jc w:val="center"/>
              <w:rPr>
                <w:rFonts w:ascii="仿宋_GB2312" w:eastAsia="仿宋_GB2312" w:hAnsi="宋体"/>
                <w:sz w:val="24"/>
                <w:szCs w:val="24"/>
              </w:rPr>
            </w:pPr>
            <w:r>
              <w:rPr>
                <w:rFonts w:ascii="仿宋_GB2312" w:eastAsia="仿宋_GB2312" w:hAnsi="宋体" w:hint="eastAsia"/>
                <w:sz w:val="24"/>
                <w:szCs w:val="24"/>
              </w:rPr>
              <w:t>3.2</w:t>
            </w:r>
          </w:p>
        </w:tc>
        <w:tc>
          <w:tcPr>
            <w:tcW w:w="3260" w:type="dxa"/>
            <w:vAlign w:val="center"/>
          </w:tcPr>
          <w:p w:rsidR="00307E38" w:rsidRDefault="00307E38" w:rsidP="00307E38">
            <w:pPr>
              <w:rPr>
                <w:rFonts w:ascii="仿宋_GB2312" w:eastAsia="仿宋_GB2312" w:hAnsi="宋体"/>
                <w:sz w:val="24"/>
                <w:szCs w:val="24"/>
              </w:rPr>
            </w:pPr>
            <w:r>
              <w:rPr>
                <w:rFonts w:ascii="仿宋_GB2312" w:eastAsia="仿宋_GB2312" w:hAnsi="宋体" w:hint="eastAsia"/>
                <w:sz w:val="24"/>
                <w:szCs w:val="24"/>
              </w:rPr>
              <w:t>托管人</w:t>
            </w:r>
            <w:r>
              <w:rPr>
                <w:rFonts w:ascii="仿宋_GB2312" w:eastAsia="仿宋_GB2312" w:hAnsi="宋体"/>
                <w:sz w:val="24"/>
                <w:szCs w:val="24"/>
              </w:rPr>
              <w:t>概况</w:t>
            </w:r>
          </w:p>
          <w:p w:rsidR="00307E38" w:rsidRDefault="00307E38" w:rsidP="00307E38">
            <w:pPr>
              <w:rPr>
                <w:rFonts w:ascii="仿宋_GB2312" w:eastAsia="仿宋_GB2312" w:hAnsi="宋体"/>
                <w:sz w:val="24"/>
                <w:szCs w:val="24"/>
              </w:rPr>
            </w:pPr>
            <w:r>
              <w:rPr>
                <w:rFonts w:ascii="仿宋_GB2312" w:eastAsia="仿宋_GB2312" w:hAnsi="宋体" w:hint="eastAsia"/>
                <w:sz w:val="24"/>
                <w:szCs w:val="24"/>
              </w:rPr>
              <w:t>电话：</w:t>
            </w:r>
            <w:r>
              <w:rPr>
                <w:rFonts w:ascii="仿宋_GB2312" w:eastAsia="仿宋_GB2312" w:hAnsi="宋体"/>
                <w:sz w:val="24"/>
                <w:szCs w:val="24"/>
              </w:rPr>
              <w:t>010-6759</w:t>
            </w:r>
            <w:r w:rsidRPr="00DB1A2E">
              <w:rPr>
                <w:rFonts w:ascii="仿宋_GB2312" w:eastAsia="仿宋_GB2312" w:hAnsi="宋体"/>
                <w:sz w:val="24"/>
                <w:szCs w:val="24"/>
              </w:rPr>
              <w:t>7114</w:t>
            </w:r>
          </w:p>
          <w:p w:rsidR="00307E38" w:rsidRPr="000228C6" w:rsidRDefault="00307E38" w:rsidP="00307E38">
            <w:pPr>
              <w:rPr>
                <w:rFonts w:ascii="仿宋_GB2312" w:eastAsia="仿宋_GB2312" w:hAnsi="宋体"/>
                <w:bCs/>
                <w:sz w:val="24"/>
                <w:szCs w:val="24"/>
              </w:rPr>
            </w:pPr>
            <w:r>
              <w:rPr>
                <w:rFonts w:ascii="仿宋_GB2312" w:eastAsia="仿宋_GB2312" w:hAnsi="宋体" w:hint="eastAsia"/>
                <w:sz w:val="24"/>
                <w:szCs w:val="24"/>
              </w:rPr>
              <w:t>法定</w:t>
            </w:r>
            <w:r>
              <w:rPr>
                <w:rFonts w:ascii="仿宋_GB2312" w:eastAsia="仿宋_GB2312" w:hAnsi="宋体"/>
                <w:sz w:val="24"/>
                <w:szCs w:val="24"/>
              </w:rPr>
              <w:t>代表人：</w:t>
            </w:r>
            <w:r>
              <w:rPr>
                <w:rFonts w:ascii="仿宋_GB2312" w:eastAsia="仿宋_GB2312" w:hAnsi="宋体" w:hint="eastAsia"/>
                <w:sz w:val="24"/>
                <w:szCs w:val="24"/>
              </w:rPr>
              <w:t>王洪章</w:t>
            </w:r>
          </w:p>
        </w:tc>
        <w:tc>
          <w:tcPr>
            <w:tcW w:w="4111" w:type="dxa"/>
            <w:vAlign w:val="center"/>
          </w:tcPr>
          <w:p w:rsidR="00307E38" w:rsidRDefault="00307E38" w:rsidP="00307E38">
            <w:pPr>
              <w:rPr>
                <w:rFonts w:ascii="仿宋_GB2312" w:eastAsia="仿宋_GB2312" w:hAnsi="宋体"/>
                <w:sz w:val="24"/>
                <w:szCs w:val="24"/>
              </w:rPr>
            </w:pPr>
            <w:r>
              <w:rPr>
                <w:rFonts w:ascii="仿宋_GB2312" w:eastAsia="仿宋_GB2312" w:hAnsi="宋体" w:hint="eastAsia"/>
                <w:sz w:val="24"/>
                <w:szCs w:val="24"/>
              </w:rPr>
              <w:t>托管人</w:t>
            </w:r>
            <w:r>
              <w:rPr>
                <w:rFonts w:ascii="仿宋_GB2312" w:eastAsia="仿宋_GB2312" w:hAnsi="宋体"/>
                <w:sz w:val="24"/>
                <w:szCs w:val="24"/>
              </w:rPr>
              <w:t>概况</w:t>
            </w:r>
          </w:p>
          <w:p w:rsidR="00307E38" w:rsidRDefault="00307E38" w:rsidP="00307E38">
            <w:pPr>
              <w:rPr>
                <w:rFonts w:ascii="仿宋_GB2312" w:eastAsia="仿宋_GB2312" w:hAnsi="宋体"/>
                <w:sz w:val="24"/>
                <w:szCs w:val="24"/>
              </w:rPr>
            </w:pPr>
            <w:r>
              <w:rPr>
                <w:rFonts w:ascii="仿宋_GB2312" w:eastAsia="仿宋_GB2312" w:hAnsi="宋体" w:hint="eastAsia"/>
                <w:sz w:val="24"/>
                <w:szCs w:val="24"/>
              </w:rPr>
              <w:t>电话：</w:t>
            </w:r>
            <w:r>
              <w:rPr>
                <w:rFonts w:ascii="仿宋_GB2312" w:eastAsia="仿宋_GB2312" w:hAnsi="宋体"/>
                <w:sz w:val="24"/>
                <w:szCs w:val="24"/>
              </w:rPr>
              <w:t>010-67595067</w:t>
            </w:r>
          </w:p>
          <w:p w:rsidR="00307E38" w:rsidRPr="000228C6" w:rsidRDefault="00307E38" w:rsidP="00307E38">
            <w:pPr>
              <w:rPr>
                <w:rFonts w:ascii="仿宋_GB2312" w:eastAsia="仿宋_GB2312" w:hAnsi="宋体"/>
                <w:bCs/>
                <w:sz w:val="24"/>
                <w:szCs w:val="24"/>
              </w:rPr>
            </w:pPr>
            <w:r>
              <w:rPr>
                <w:rFonts w:ascii="仿宋_GB2312" w:eastAsia="仿宋_GB2312" w:hAnsi="宋体" w:hint="eastAsia"/>
                <w:sz w:val="24"/>
                <w:szCs w:val="24"/>
              </w:rPr>
              <w:t>法定</w:t>
            </w:r>
            <w:r>
              <w:rPr>
                <w:rFonts w:ascii="仿宋_GB2312" w:eastAsia="仿宋_GB2312" w:hAnsi="宋体"/>
                <w:sz w:val="24"/>
                <w:szCs w:val="24"/>
              </w:rPr>
              <w:t>代表人：</w:t>
            </w:r>
            <w:r>
              <w:rPr>
                <w:rFonts w:ascii="仿宋_GB2312" w:eastAsia="仿宋_GB2312" w:hAnsi="宋体" w:hint="eastAsia"/>
                <w:sz w:val="24"/>
                <w:szCs w:val="24"/>
              </w:rPr>
              <w:t>田国立</w:t>
            </w:r>
          </w:p>
        </w:tc>
      </w:tr>
      <w:tr w:rsidR="00307E38" w:rsidRPr="000228C6" w:rsidTr="00557C65">
        <w:trPr>
          <w:jc w:val="center"/>
        </w:trPr>
        <w:tc>
          <w:tcPr>
            <w:tcW w:w="1271" w:type="dxa"/>
            <w:vAlign w:val="center"/>
          </w:tcPr>
          <w:p w:rsidR="00307E38" w:rsidRPr="000228C6" w:rsidRDefault="00307E38" w:rsidP="00307E38">
            <w:pPr>
              <w:jc w:val="center"/>
              <w:rPr>
                <w:rFonts w:ascii="仿宋_GB2312" w:eastAsia="仿宋_GB2312" w:hAnsi="宋体"/>
                <w:sz w:val="24"/>
                <w:szCs w:val="24"/>
              </w:rPr>
            </w:pPr>
            <w:r w:rsidRPr="000228C6">
              <w:rPr>
                <w:rFonts w:ascii="仿宋_GB2312" w:eastAsia="仿宋_GB2312" w:hAnsi="宋体" w:hint="eastAsia"/>
                <w:sz w:val="24"/>
                <w:szCs w:val="24"/>
              </w:rPr>
              <w:t>7.2</w:t>
            </w:r>
          </w:p>
        </w:tc>
        <w:tc>
          <w:tcPr>
            <w:tcW w:w="3260" w:type="dxa"/>
            <w:vAlign w:val="center"/>
          </w:tcPr>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投资</w:t>
            </w:r>
            <w:r w:rsidRPr="000228C6">
              <w:rPr>
                <w:rFonts w:ascii="仿宋_GB2312" w:eastAsia="仿宋_GB2312" w:hAnsi="宋体"/>
                <w:bCs/>
                <w:sz w:val="24"/>
                <w:szCs w:val="24"/>
              </w:rPr>
              <w:t>基准</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同期中国人民银行公布的三年定期存款税后基准利率，并随利率变动实时调整</w:t>
            </w:r>
          </w:p>
        </w:tc>
        <w:tc>
          <w:tcPr>
            <w:tcW w:w="4111" w:type="dxa"/>
            <w:vAlign w:val="center"/>
          </w:tcPr>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投资基准</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同期沪深300指数收益率。</w:t>
            </w:r>
          </w:p>
          <w:p w:rsidR="00307E38" w:rsidRPr="000228C6" w:rsidRDefault="00307E38" w:rsidP="00307E38">
            <w:pPr>
              <w:rPr>
                <w:rFonts w:ascii="仿宋_GB2312" w:eastAsia="仿宋_GB2312" w:hAnsi="宋体"/>
                <w:b/>
                <w:bCs/>
                <w:sz w:val="24"/>
                <w:szCs w:val="24"/>
              </w:rPr>
            </w:pPr>
          </w:p>
        </w:tc>
      </w:tr>
      <w:tr w:rsidR="00307E38" w:rsidRPr="000228C6" w:rsidTr="00557C65">
        <w:trPr>
          <w:jc w:val="center"/>
        </w:trPr>
        <w:tc>
          <w:tcPr>
            <w:tcW w:w="1271" w:type="dxa"/>
            <w:vAlign w:val="center"/>
          </w:tcPr>
          <w:p w:rsidR="00307E38" w:rsidRPr="000228C6" w:rsidRDefault="00307E38" w:rsidP="00307E38">
            <w:pPr>
              <w:jc w:val="center"/>
              <w:rPr>
                <w:rFonts w:ascii="仿宋_GB2312" w:eastAsia="仿宋_GB2312" w:hAnsi="宋体"/>
                <w:sz w:val="24"/>
                <w:szCs w:val="24"/>
              </w:rPr>
            </w:pPr>
            <w:r w:rsidRPr="000228C6">
              <w:rPr>
                <w:rFonts w:ascii="仿宋_GB2312" w:eastAsia="仿宋_GB2312" w:hAnsi="宋体" w:hint="eastAsia"/>
                <w:sz w:val="24"/>
                <w:szCs w:val="24"/>
              </w:rPr>
              <w:t>7.2</w:t>
            </w:r>
          </w:p>
          <w:p w:rsidR="00307E38" w:rsidRPr="000228C6" w:rsidRDefault="00307E38" w:rsidP="00307E38">
            <w:pPr>
              <w:jc w:val="center"/>
              <w:rPr>
                <w:rFonts w:ascii="仿宋_GB2312" w:eastAsia="仿宋_GB2312" w:hAnsi="宋体"/>
                <w:sz w:val="24"/>
                <w:szCs w:val="24"/>
              </w:rPr>
            </w:pPr>
            <w:r w:rsidRPr="000228C6">
              <w:rPr>
                <w:rFonts w:ascii="仿宋_GB2312" w:eastAsia="仿宋_GB2312" w:hAnsi="宋体" w:hint="eastAsia"/>
                <w:sz w:val="24"/>
                <w:szCs w:val="24"/>
              </w:rPr>
              <w:t>（新增）</w:t>
            </w:r>
          </w:p>
        </w:tc>
        <w:tc>
          <w:tcPr>
            <w:tcW w:w="3260" w:type="dxa"/>
            <w:vAlign w:val="center"/>
          </w:tcPr>
          <w:p w:rsidR="00307E38" w:rsidRPr="000228C6" w:rsidRDefault="00307E38" w:rsidP="00307E38">
            <w:pPr>
              <w:rPr>
                <w:rFonts w:ascii="仿宋_GB2312" w:eastAsia="仿宋_GB2312" w:hAnsi="宋体"/>
                <w:bCs/>
                <w:sz w:val="24"/>
                <w:szCs w:val="24"/>
              </w:rPr>
            </w:pPr>
          </w:p>
        </w:tc>
        <w:tc>
          <w:tcPr>
            <w:tcW w:w="4111" w:type="dxa"/>
            <w:vAlign w:val="center"/>
          </w:tcPr>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本合同约定的投资基准仅是评价本产品业绩表现的比较标准，不构成投资管理人、托管人对本产品本金和收益状况的任何承诺或保证。</w:t>
            </w:r>
          </w:p>
        </w:tc>
      </w:tr>
      <w:tr w:rsidR="00307E38" w:rsidRPr="000228C6" w:rsidTr="00557C65">
        <w:trPr>
          <w:jc w:val="center"/>
        </w:trPr>
        <w:tc>
          <w:tcPr>
            <w:tcW w:w="1271" w:type="dxa"/>
            <w:vAlign w:val="center"/>
          </w:tcPr>
          <w:p w:rsidR="00307E38" w:rsidRPr="000228C6" w:rsidRDefault="00307E38" w:rsidP="00307E38">
            <w:pPr>
              <w:jc w:val="center"/>
              <w:rPr>
                <w:rFonts w:ascii="仿宋_GB2312" w:eastAsia="仿宋_GB2312" w:hAnsi="宋体"/>
                <w:sz w:val="24"/>
                <w:szCs w:val="24"/>
              </w:rPr>
            </w:pPr>
            <w:r w:rsidRPr="000228C6">
              <w:rPr>
                <w:rFonts w:ascii="仿宋_GB2312" w:eastAsia="仿宋_GB2312" w:hAnsi="宋体" w:hint="eastAsia"/>
                <w:sz w:val="24"/>
                <w:szCs w:val="24"/>
              </w:rPr>
              <w:t>7.3</w:t>
            </w:r>
          </w:p>
        </w:tc>
        <w:tc>
          <w:tcPr>
            <w:tcW w:w="3260" w:type="dxa"/>
            <w:vAlign w:val="center"/>
          </w:tcPr>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风险收益</w:t>
            </w:r>
            <w:r w:rsidRPr="000228C6">
              <w:rPr>
                <w:rFonts w:ascii="仿宋_GB2312" w:eastAsia="仿宋_GB2312" w:hAnsi="宋体"/>
                <w:bCs/>
                <w:sz w:val="24"/>
                <w:szCs w:val="24"/>
              </w:rPr>
              <w:t>特征</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本产品是股票型养老金产品，风险高于货币型、固定收益型养老金产品，低于普通股票型养老金产品和混合型养老金产品。</w:t>
            </w:r>
          </w:p>
        </w:tc>
        <w:tc>
          <w:tcPr>
            <w:tcW w:w="4111" w:type="dxa"/>
            <w:vAlign w:val="center"/>
          </w:tcPr>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风险收益</w:t>
            </w:r>
            <w:r w:rsidRPr="000228C6">
              <w:rPr>
                <w:rFonts w:ascii="仿宋_GB2312" w:eastAsia="仿宋_GB2312" w:hAnsi="宋体"/>
                <w:bCs/>
                <w:sz w:val="24"/>
                <w:szCs w:val="24"/>
              </w:rPr>
              <w:t>特征</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本产品是股票型养老金产品，风险高于货币型、固定收益型、混合型养老金产品，投资风险较高，投资者需承担较高的短期波动风险。</w:t>
            </w:r>
          </w:p>
        </w:tc>
      </w:tr>
      <w:tr w:rsidR="00307E38" w:rsidRPr="000228C6" w:rsidTr="00557C65">
        <w:trPr>
          <w:jc w:val="center"/>
        </w:trPr>
        <w:tc>
          <w:tcPr>
            <w:tcW w:w="1271" w:type="dxa"/>
            <w:vAlign w:val="center"/>
          </w:tcPr>
          <w:p w:rsidR="00307E38" w:rsidRPr="000228C6" w:rsidRDefault="00307E38" w:rsidP="00307E38">
            <w:pPr>
              <w:jc w:val="center"/>
              <w:rPr>
                <w:rFonts w:ascii="仿宋_GB2312" w:eastAsia="仿宋_GB2312" w:hAnsi="宋体"/>
                <w:sz w:val="24"/>
                <w:szCs w:val="24"/>
              </w:rPr>
            </w:pPr>
            <w:r w:rsidRPr="000228C6">
              <w:rPr>
                <w:rFonts w:ascii="仿宋_GB2312" w:eastAsia="仿宋_GB2312" w:hAnsi="宋体" w:hint="eastAsia"/>
                <w:sz w:val="24"/>
                <w:szCs w:val="24"/>
              </w:rPr>
              <w:t>7.4.5</w:t>
            </w:r>
          </w:p>
          <w:p w:rsidR="00307E38" w:rsidRPr="000228C6" w:rsidRDefault="00307E38" w:rsidP="00307E38">
            <w:pPr>
              <w:jc w:val="center"/>
              <w:rPr>
                <w:rFonts w:ascii="仿宋_GB2312" w:eastAsia="仿宋_GB2312" w:hAnsi="宋体"/>
                <w:sz w:val="24"/>
                <w:szCs w:val="24"/>
              </w:rPr>
            </w:pPr>
            <w:r w:rsidRPr="000228C6">
              <w:rPr>
                <w:rFonts w:ascii="仿宋_GB2312" w:eastAsia="仿宋_GB2312" w:hAnsi="宋体" w:hint="eastAsia"/>
                <w:sz w:val="24"/>
                <w:szCs w:val="24"/>
              </w:rPr>
              <w:t>（新增）</w:t>
            </w:r>
          </w:p>
        </w:tc>
        <w:tc>
          <w:tcPr>
            <w:tcW w:w="3260" w:type="dxa"/>
            <w:vAlign w:val="center"/>
          </w:tcPr>
          <w:p w:rsidR="00307E38" w:rsidRPr="000228C6" w:rsidRDefault="00307E38" w:rsidP="00307E38">
            <w:pPr>
              <w:rPr>
                <w:rFonts w:ascii="仿宋_GB2312" w:eastAsia="仿宋_GB2312" w:hAnsi="宋体"/>
                <w:bCs/>
                <w:sz w:val="24"/>
                <w:szCs w:val="24"/>
              </w:rPr>
            </w:pPr>
          </w:p>
        </w:tc>
        <w:tc>
          <w:tcPr>
            <w:tcW w:w="4111" w:type="dxa"/>
            <w:vAlign w:val="center"/>
          </w:tcPr>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投资管理人可以在本合同约定的投资范围内，运用本养老金产品资产投资于本产品投资人、投资管理人、托管人及其关联方发行或承销的证券或金融产品或进行其他关联交易，无需投资人的个别授权，但法律另有规定或本合同另有约定的除外。以上投资行为应按照市场通行的方式和条件参与，公平对待养老金产品财产，投资管理人不得通过关联交易或者其他方式侵害投资人的利益。</w:t>
            </w:r>
          </w:p>
        </w:tc>
      </w:tr>
      <w:tr w:rsidR="00307E38" w:rsidRPr="000228C6" w:rsidTr="00557C65">
        <w:trPr>
          <w:jc w:val="center"/>
        </w:trPr>
        <w:tc>
          <w:tcPr>
            <w:tcW w:w="1271" w:type="dxa"/>
            <w:vAlign w:val="center"/>
          </w:tcPr>
          <w:p w:rsidR="00307E38" w:rsidRPr="000228C6" w:rsidRDefault="00307E38" w:rsidP="00307E38">
            <w:pPr>
              <w:jc w:val="center"/>
              <w:rPr>
                <w:rFonts w:ascii="仿宋_GB2312" w:eastAsia="仿宋_GB2312" w:hAnsi="宋体"/>
                <w:sz w:val="24"/>
                <w:szCs w:val="24"/>
              </w:rPr>
            </w:pPr>
            <w:r w:rsidRPr="000228C6">
              <w:rPr>
                <w:rFonts w:ascii="仿宋_GB2312" w:eastAsia="仿宋_GB2312" w:hAnsi="宋体" w:hint="eastAsia"/>
                <w:sz w:val="24"/>
                <w:szCs w:val="24"/>
              </w:rPr>
              <w:t>7.5</w:t>
            </w:r>
          </w:p>
        </w:tc>
        <w:tc>
          <w:tcPr>
            <w:tcW w:w="3260" w:type="dxa"/>
            <w:vAlign w:val="center"/>
          </w:tcPr>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投资策略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7.5.1  资产配置策略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在资产配置方面，本产品主要运用股指期货对持有的股票、股票型基金等权益类多头组合进行对冲操作，规避权益类多头组合的市场系统性风险；同时预留必要的现金，以应对保证金的增加要求或投资者的赎回申请。</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7.5.2  股票投资策略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通过对不同行业深入的基本面研究，根据行业发展现状、公司盈利能力、成长能力等因素构建行业优选股票池。在研究成果基础上进行排查，剔除部分风险过高的股票，进一步精化股票池。</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在股票池中进行多因子选股，每月调仓，并根据不同因子类别和效果赋予不同的权重，组合因子优化整体选股效果。股票因子池每半年重新测试一次，使因子适用于不同的市场环境，同时确保股票组合的整体风险处于可控范围内。</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7.5.3  股指期货投资策略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本产品主要运用股指期货合约进行套期保值操作，规避市场系统性风险。在完全套保的理念下，本产品根据股票多头组合的市值计算股指期货合约卖单量，并根据市场变化对股指期货合约卖单量进行动态跟踪并适时调整。同时，综合考虑定价关系、套利机会、流动性以及保证金要求等因素，在不同股指期货合约之间进行动态配置，并适时进行合约展期操作，优化展期时机，捕捉更多基差收益，以求提高组合收益和套期保值的效果。</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本合同有效期内，若关于养老金产品参与融资融券、转融通业务及投资期权等其他金融工具的相关规定颁布实施，投资管理人将按照人力资源社会保障部、中国证监会的规定及其他相关法律法规的要求，根据市场情况选择合适的衍生工具对冲市场系统风险。</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7.5.4其他投资策略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本产品基于流动性管理及策略性投资的需要，将运用多种积极管理增值策略投资于证券投资基金、债券、商业银行理财产品、信托产品、基础设施债权计划、特定客户资产管理计划和货币市场工具，在确保养老金产品资产流动性的基础上，有效利用养老金产品的资产，提高投资收益。</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7.5.5 建仓期策略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本产品将根据市场波动性及其走向趋势，采用时间平均法调整建仓节奏，控制建仓成本，同时在组合获利达到既定目标时及时兑现，以实现稳健收益目标。</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产品在构建股票组合时，会根据最近一段时间市场走势，预先设定建仓节奏。如市场振荡较大时，产品将放慢建仓节奏，如市场趋势明显、振荡不大时，产品将加快建仓节奏。时间平均法可有效控制建仓成本，降低组合波动。</w:t>
            </w:r>
          </w:p>
        </w:tc>
        <w:tc>
          <w:tcPr>
            <w:tcW w:w="4111" w:type="dxa"/>
            <w:vAlign w:val="center"/>
          </w:tcPr>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投资策略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7.5.1  资产配置策略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本产品将结合宏观经济环境、政策形势、证券市场走势的综合分析，主动判断市场时机，进行积极的资产配置，合理确定产品在股票、债券等各类资产类别上的投资比例，以最大限度地降低投资组合的风险、提高收益。</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7.5.2  股票投资策略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7.5.2.1  个股精选策略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通过对不同行业深入的基本面研究，根据行业发展现状、公司盈利能力、成长能力等因素构建行业优选股票池。在研究成果基础上进行排查，剔除部分风险过高的股票，进一步精化股票池。在股票池中进行多因子选股或多因素选股，并通过对市场海量数据的深度挖掘和高效处理，不断自主优化和改进投资策略，紧跟市场动态，以实现长期超额收益。</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7.5.2.2  新股申购策略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本产品将研究首次发行（IPO）股票及增发新股的上市公司基本面，根据股票市场整体定价水平，估计新股上市交易的合理价格，同时参考一级市场资金供求关系，制定相应的新股申购策略。本产品对于通过参与新股认购所获得的股票，将根据其市场价格相对于其合理内在价值的高低，确定继续持有或者卖出。</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7.5.3  债券投资策略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本产品将在保持组合低波动性的前提下，运用多种积极管理增值策略，追求稳健回报。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7.5.3.1  久期调整策略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本产品将根据对利率水平的预期，在预期利率下降时，增加组合久期，以较多地获得债券价格上升带来的收益，在预期利率上升时，减小组合久期，以规避债券价格下降的风险。</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7.5.3.2  收益率曲线策略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在久期确定的基础上，根据对收益率曲线形状变化的预测，采用子弹型策略、哑铃型策略或梯形策略，在长期、中期和短期债券间进行配置，以从长、中、短期债券的相对价格变化中获利。</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7.5.3.3  债券类属配置策略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根据国债、金融债、企业债等不同债券板块之间的相对投资价值分析，增持价值被相对低估的债券板块，减持价值被相对高估的债券板块，借以取得较高收益。其中，随着债券市场的发展，本产品将加强对企业债、资产抵押债券等新品种的投资，主要通过信用风险的分析和管理，获取超额收益。</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7.5.3.4  骑乘策略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通过分析收益率曲线各期限段的利差情况，买入收益率曲线最陡峭处所对应的期限债券，随着本产品持有债券时间的延长，债券的剩余期限将缩短，到期收益率将下降，产品从而可获得资本利得收入。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7.5.3.5  相对价值策略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相对价值策略包括研究国债与金融债之间的信用利差、交易所与银行间的市场利差等。金融债与国债的利差由税收因素形成，利差的大小主要受市场资金供给充裕程度决定，资金供给越充分上述利差将越小。交易所与银行间的联动性随着市场改革势必渐渐加强，两市之间的利差能够提供一些增值机会。</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7.5.3.6  信用利差策略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企业债与国债的利差曲线理论上受经济波动与企业生命周期影响，相同资信等级的公司债在利差期限结构上服从凸性回归均衡的规律。内外部评级的差别与信用等级的变动会造成相对利差的波动，另外在经济上升或下降的周期中企业债利差将缩小或扩大。投资管理人可以通过对内外部评级、利差曲线研究和经济周期的判断主动采用相对利差投资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7.5.3.7  回购放大策略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该策略在资金相对充裕的情况下是风险较低的投资策略。即在基础组合的基础上，使用基础组合持有的债券进行回购放大融入短期资金滚动操作，同时选择2年以下的交易所和银行间品种进行投资以获取骑乘及短期债券与货币市场利率的利差。</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7.5.3.8  可转债投资策略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可转债不同于一般的企业债券，其投资人具有在一定条件下转股、回售的权利，因此其理论价值等于作为普通债券的基础价值加上可转债内含选择权的价值。本产品投资于可转债，主要目标是降低产品净值的下行风险，产品投资的可转债可以转股，以保留参与股票升值的收益潜力。</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a.积极管理策略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可转债内含选择权定价是决定可转债投资价值的关键因素。本产品将采取积极管理策略，重视对可转债对应股票的分析与研究，选择那些公司行业景气趋势回升、成长性好、估值水平偏低或合理的转债进行投资，以获取收益。</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b.一级市场申购策略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目前，可转债均采取定价发行，对于那些发行条款优惠、期权价值较高、公司基本面优良的可转债，因供求不平衡，会产生较大的一、二级市场价差。因此，为增加组合收益，本产品将在充分研究的基础上，参与可转换债券的一级市场申购，在严格控制风险的前提下获得稳定收益。</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7.5.4 建仓期策略</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本产品将根据市场波动性及其走向趋势，采用时间平均法调整建仓节奏，控制建仓成本，同时在组合获利达到既定目标时及时兑现，以实现稳健收益目标。</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产品在构建股票组合时，会根据最近一段时间市场走势，预先设定建仓节奏。如市场振荡较大时，产品将放慢建仓节奏，如市场趋势明显、振荡不大时，产品将加快建仓节奏。时间平均法可有效控制建仓成本，降低组合波动。</w:t>
            </w:r>
          </w:p>
        </w:tc>
      </w:tr>
      <w:tr w:rsidR="00307E38" w:rsidRPr="000228C6" w:rsidTr="00557C65">
        <w:trPr>
          <w:jc w:val="center"/>
        </w:trPr>
        <w:tc>
          <w:tcPr>
            <w:tcW w:w="1271" w:type="dxa"/>
            <w:vAlign w:val="center"/>
          </w:tcPr>
          <w:p w:rsidR="00307E38" w:rsidRPr="000228C6" w:rsidRDefault="00307E38" w:rsidP="00307E38">
            <w:pPr>
              <w:jc w:val="center"/>
              <w:rPr>
                <w:rFonts w:ascii="仿宋_GB2312" w:eastAsia="仿宋_GB2312" w:hAnsi="宋体"/>
                <w:sz w:val="24"/>
                <w:szCs w:val="24"/>
              </w:rPr>
            </w:pPr>
            <w:r w:rsidRPr="000228C6">
              <w:rPr>
                <w:rFonts w:ascii="仿宋_GB2312" w:eastAsia="仿宋_GB2312" w:hAnsi="宋体" w:hint="eastAsia"/>
                <w:sz w:val="24"/>
                <w:szCs w:val="24"/>
              </w:rPr>
              <w:t>13.4</w:t>
            </w:r>
          </w:p>
        </w:tc>
        <w:tc>
          <w:tcPr>
            <w:tcW w:w="3260" w:type="dxa"/>
            <w:vAlign w:val="center"/>
          </w:tcPr>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季度报告应在每个季度结束之日起15日内编制完毕；年度报告在年度披露依据监管机构要求完成编制及披露。养老金产品定期报告格式及内容以人力资源和社会保障部规定为准。</w:t>
            </w:r>
          </w:p>
        </w:tc>
        <w:tc>
          <w:tcPr>
            <w:tcW w:w="4111" w:type="dxa"/>
            <w:vAlign w:val="center"/>
          </w:tcPr>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季度报告应在每个季度结束之日起15日内编制完毕；年度报告应于年度结束后15个工作日内依据监管机构要求完成编制及披露。上述定期报告格式及内容以人力资源和社会保障部规定为准，提交时限如遇法定节假日可适当顺延。</w:t>
            </w:r>
          </w:p>
        </w:tc>
      </w:tr>
      <w:tr w:rsidR="00307E38" w:rsidRPr="000228C6" w:rsidTr="00557C65">
        <w:trPr>
          <w:jc w:val="center"/>
        </w:trPr>
        <w:tc>
          <w:tcPr>
            <w:tcW w:w="1271" w:type="dxa"/>
            <w:vAlign w:val="center"/>
          </w:tcPr>
          <w:p w:rsidR="00307E38" w:rsidRPr="000228C6" w:rsidRDefault="00307E38" w:rsidP="00307E38">
            <w:pPr>
              <w:jc w:val="center"/>
              <w:rPr>
                <w:rFonts w:ascii="仿宋_GB2312" w:eastAsia="仿宋_GB2312" w:hAnsi="宋体"/>
                <w:sz w:val="24"/>
                <w:szCs w:val="24"/>
              </w:rPr>
            </w:pPr>
            <w:r w:rsidRPr="000228C6">
              <w:rPr>
                <w:rFonts w:ascii="仿宋_GB2312" w:eastAsia="仿宋_GB2312" w:hAnsi="宋体" w:hint="eastAsia"/>
                <w:sz w:val="24"/>
                <w:szCs w:val="24"/>
              </w:rPr>
              <w:t>14.2</w:t>
            </w:r>
          </w:p>
          <w:p w:rsidR="00307E38" w:rsidRPr="000228C6" w:rsidRDefault="00307E38" w:rsidP="00307E38">
            <w:pPr>
              <w:jc w:val="center"/>
              <w:rPr>
                <w:rFonts w:ascii="仿宋_GB2312" w:eastAsia="仿宋_GB2312" w:hAnsi="宋体"/>
                <w:sz w:val="24"/>
                <w:szCs w:val="24"/>
              </w:rPr>
            </w:pPr>
            <w:r w:rsidRPr="000228C6">
              <w:rPr>
                <w:rFonts w:ascii="仿宋_GB2312" w:eastAsia="仿宋_GB2312" w:hAnsi="宋体"/>
                <w:sz w:val="24"/>
                <w:szCs w:val="24"/>
              </w:rPr>
              <w:t>3</w:t>
            </w:r>
            <w:r w:rsidRPr="000228C6">
              <w:rPr>
                <w:rFonts w:ascii="仿宋_GB2312" w:eastAsia="仿宋_GB2312" w:hAnsi="宋体" w:hint="eastAsia"/>
                <w:sz w:val="24"/>
                <w:szCs w:val="24"/>
              </w:rPr>
              <w:t>、</w:t>
            </w:r>
            <w:r w:rsidRPr="000228C6">
              <w:rPr>
                <w:rFonts w:ascii="仿宋_GB2312" w:eastAsia="仿宋_GB2312" w:hAnsi="宋体"/>
                <w:sz w:val="24"/>
                <w:szCs w:val="24"/>
              </w:rPr>
              <w:t>积极管理风险</w:t>
            </w:r>
          </w:p>
          <w:p w:rsidR="00307E38" w:rsidRPr="000228C6" w:rsidRDefault="00307E38" w:rsidP="00307E38">
            <w:pPr>
              <w:jc w:val="center"/>
              <w:rPr>
                <w:rFonts w:ascii="仿宋_GB2312" w:eastAsia="仿宋_GB2312" w:hAnsi="宋体"/>
                <w:sz w:val="24"/>
                <w:szCs w:val="24"/>
              </w:rPr>
            </w:pPr>
            <w:r w:rsidRPr="000228C6">
              <w:rPr>
                <w:rFonts w:ascii="仿宋_GB2312" w:eastAsia="仿宋_GB2312" w:hAnsi="宋体" w:hint="eastAsia"/>
                <w:sz w:val="24"/>
                <w:szCs w:val="24"/>
              </w:rPr>
              <w:t>（删除）</w:t>
            </w:r>
          </w:p>
        </w:tc>
        <w:tc>
          <w:tcPr>
            <w:tcW w:w="3260" w:type="dxa"/>
            <w:vAlign w:val="center"/>
          </w:tcPr>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 xml:space="preserve">a.市场中性策略的风格风险 </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追求绝对收益的市场中性策略产品与普通股票型、混合型养老金产品不同。普通股票型、混合型养老金产品大多和股票市场、债券市场保持相对较高的相关性，而市场中策略产品通过卖空股指期货对冲系统性风险，其预期收益和预期风险与股票市场表现的相关性较低，主要取决于其投资策略的有效性。</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在股市上涨行情，市场性策略产品由于其所持有的股指期货空头头寸，其表现可能会低于不采用对冲策略的普通股票型和混合养老金产品的收益水平。这种表现是市场中性策略产品特有的投资策略——采用持续对冲策略所引发的结果，并不表明着投资管理人投资水平低于市场平均水平。</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b.投资策略有效性风险</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本产品的投资策略包括指数增强和对冲两部分，具体通过构建现货组合同时卖空股指期货合约以对冲市场系统性风险，力求获得指数增强现货组合超越股指期货合约表现的超额收益。若本产品投资策略有效，将获得正的超额收益，产品份额净值上涨。若本产品的投资策略无效，将获得负的超额收益，产品的份额净值下跌。极端情况若本产品的投资策略无效，本产品持有的现货组合下跌，同时卖空股期约上涨，可能在股票市场和期货市场同时承受损失，产品的份额净值将下跌。</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c.量化模型及金融数据的风险</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本产品应用量化模型和外部提供商的金融数据协助进行选股。由于量化模型是基于过往投资实践的知识开发的，面对不断变换市场环境和不断完善的理论方法，模型的部分具体设定依赖于过往经验认知，参数假设的变动可能影响模型的整体效果稳定性，模型效果的验证性依赖于历史数据，在实际运作过程中可能会因为市场环境的变化，影响靠模型构建的投资组合达到其预期的投资效果。</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本产品通过采集金融数据、数量化地分析股票及提供投资建议。数据通常来自不同的数据提供商，且在进行数据清洗、加工后作为量化模型的输入变量。采集到的原始金融数据的错误或不完整、预处理过程中的缺陷都可能直接影响量化模型的输出结果，形成数据风险，对产品的业绩产生不利的影响。</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d.股指期货特有的风险</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基差风险：在利用股指期货对冲市场系统风险时，养老金产品的资产可能因为股指期货合约与标的指数价格变动方向不一致而承担基差风险。因存在基差风险，在股指期货合约展期操作时，养老金产品的资产可能因股指期货合约之间价差的异常变动而遭受展期风险。</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股指期货展期时的流动性风险：本养老金产品持有的股指期货头寸需要进行展期操作，平仓持有的股指期货合约，换成其它月份股指期货合约，当股指期货市场流动性不佳、交易量不足时，将会导致展期操作执行难度提高、交易成本增加，从而可能对养老金产品的资产造成不利的影响。</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期货盯市结算制度带来的现金管理风险：股指期货采取保证金交易制度，保证金账户实行当日无负债结算制度，资金管理要求高。当市场持续向不利方向波动导致期货保证金不足，如果未能在规定的时间内补足保证金，按规定将被强制平仓，可能给养老金产品的资产带来超出预期的损失。</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到期日风险：股指期货合约到期时，本养老金产品的账户如仍持有未平仓合约，交易所将按照交割结算价将账户持有的合约进行现金交割，因此无法继续持有到期合约，具有到期日风险。</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对手方风险：投资管理人运用养老金产品的资产投资于股指期货时，会尽力选择资信状况优良、风险控制能力强的期货公司作为经纪商，但不能杜绝在极端情况下，所选择的期货公司在交易过程中存在违法、违规经营行为或破产清算导致养老金产品的资产遭受损失。</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连带风险：为养老金产品的资产进行结算的结算会员或该结算会员下的其他投资者出现保证金不足、又未能在规定的时间内补足，或因其他原因导致中金所对该结算会员下的经纪账户强行平仓时，养老金产品的资产可能因被连带强行平仓而遭受损失。</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未平仓合约不能继续持有风险：由于国家法律、法规、政策的变化、中金所交易规则的修改、紧急措施的出台等原因，养老金产品的资产持有的未平仓合约可能无法继续持有，养老金产品的资产必须承担由此导致的损失。</w:t>
            </w:r>
          </w:p>
        </w:tc>
        <w:tc>
          <w:tcPr>
            <w:tcW w:w="4111" w:type="dxa"/>
            <w:vAlign w:val="center"/>
          </w:tcPr>
          <w:p w:rsidR="00307E38" w:rsidRPr="000228C6" w:rsidRDefault="00307E38" w:rsidP="00307E38">
            <w:pPr>
              <w:rPr>
                <w:rFonts w:ascii="仿宋_GB2312" w:eastAsia="仿宋_GB2312" w:hAnsi="宋体"/>
                <w:bCs/>
                <w:sz w:val="24"/>
                <w:szCs w:val="24"/>
              </w:rPr>
            </w:pPr>
          </w:p>
        </w:tc>
      </w:tr>
      <w:tr w:rsidR="00307E38" w:rsidRPr="000228C6" w:rsidTr="00557C65">
        <w:trPr>
          <w:jc w:val="center"/>
        </w:trPr>
        <w:tc>
          <w:tcPr>
            <w:tcW w:w="1271" w:type="dxa"/>
            <w:vAlign w:val="center"/>
          </w:tcPr>
          <w:p w:rsidR="00307E38" w:rsidRPr="000228C6" w:rsidRDefault="00307E38" w:rsidP="00307E38">
            <w:pPr>
              <w:jc w:val="center"/>
              <w:rPr>
                <w:rFonts w:ascii="仿宋_GB2312" w:eastAsia="仿宋_GB2312" w:hAnsi="宋体"/>
                <w:sz w:val="24"/>
                <w:szCs w:val="24"/>
              </w:rPr>
            </w:pPr>
            <w:r w:rsidRPr="000228C6">
              <w:rPr>
                <w:rFonts w:ascii="仿宋_GB2312" w:eastAsia="仿宋_GB2312" w:hAnsi="宋体" w:hint="eastAsia"/>
                <w:sz w:val="24"/>
                <w:szCs w:val="24"/>
              </w:rPr>
              <w:t>15.3</w:t>
            </w:r>
          </w:p>
        </w:tc>
        <w:tc>
          <w:tcPr>
            <w:tcW w:w="3260" w:type="dxa"/>
            <w:vAlign w:val="center"/>
          </w:tcPr>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投资管理合同及养老金产品的变更。</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投资管理合同生效后，如需变更，须经投资管理人与托管人协商一致并达成书面协议。</w:t>
            </w:r>
          </w:p>
        </w:tc>
        <w:tc>
          <w:tcPr>
            <w:tcW w:w="4111" w:type="dxa"/>
            <w:vAlign w:val="center"/>
          </w:tcPr>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投资管理合同及养老金产品的变更。</w:t>
            </w:r>
          </w:p>
          <w:p w:rsidR="00307E38" w:rsidRPr="000228C6" w:rsidRDefault="00307E38" w:rsidP="00307E38">
            <w:pPr>
              <w:rPr>
                <w:rFonts w:ascii="仿宋_GB2312" w:eastAsia="仿宋_GB2312" w:hAnsi="宋体"/>
                <w:bCs/>
                <w:sz w:val="24"/>
                <w:szCs w:val="24"/>
              </w:rPr>
            </w:pPr>
            <w:r w:rsidRPr="000228C6">
              <w:rPr>
                <w:rFonts w:ascii="仿宋_GB2312" w:eastAsia="仿宋_GB2312" w:hAnsi="宋体" w:hint="eastAsia"/>
                <w:bCs/>
                <w:sz w:val="24"/>
                <w:szCs w:val="24"/>
              </w:rPr>
              <w:t>投资管理合同生效后，如需变更，须经投资管理人与托管人协商一致。</w:t>
            </w:r>
          </w:p>
        </w:tc>
      </w:tr>
      <w:bookmarkEnd w:id="0"/>
    </w:tbl>
    <w:p w:rsidR="00B1632A" w:rsidRPr="00000801" w:rsidRDefault="00B1632A" w:rsidP="000747A6">
      <w:pPr>
        <w:pStyle w:val="Default"/>
        <w:rPr>
          <w:rFonts w:ascii="仿宋_GB2312" w:eastAsia="仿宋_GB2312" w:hAnsi="仿宋"/>
          <w:sz w:val="32"/>
          <w:szCs w:val="32"/>
        </w:rPr>
      </w:pPr>
    </w:p>
    <w:sectPr w:rsidR="00B1632A" w:rsidRPr="00000801" w:rsidSect="00C84209">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529" w:rsidRDefault="00BF4529" w:rsidP="00DD7770">
      <w:r>
        <w:separator/>
      </w:r>
    </w:p>
  </w:endnote>
  <w:endnote w:type="continuationSeparator" w:id="0">
    <w:p w:rsidR="00BF4529" w:rsidRDefault="00BF4529" w:rsidP="00DD7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9082620"/>
      <w:docPartObj>
        <w:docPartGallery w:val="Page Numbers (Bottom of Page)"/>
        <w:docPartUnique/>
      </w:docPartObj>
    </w:sdtPr>
    <w:sdtEndPr/>
    <w:sdtContent>
      <w:p w:rsidR="00BF4529" w:rsidRDefault="0022535B">
        <w:pPr>
          <w:pStyle w:val="a5"/>
          <w:jc w:val="center"/>
        </w:pPr>
        <w:r>
          <w:fldChar w:fldCharType="begin"/>
        </w:r>
        <w:r w:rsidR="00BF4529">
          <w:instrText>PAGE   \* MERGEFORMAT</w:instrText>
        </w:r>
        <w:r>
          <w:fldChar w:fldCharType="separate"/>
        </w:r>
        <w:r w:rsidR="00355B01" w:rsidRPr="00355B01">
          <w:rPr>
            <w:noProof/>
            <w:lang w:val="zh-CN"/>
          </w:rPr>
          <w:t>3</w:t>
        </w:r>
        <w:r>
          <w:fldChar w:fldCharType="end"/>
        </w:r>
      </w:p>
    </w:sdtContent>
  </w:sdt>
  <w:p w:rsidR="00BF4529" w:rsidRDefault="00BF452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529" w:rsidRDefault="00BF4529" w:rsidP="00DD7770">
      <w:r>
        <w:separator/>
      </w:r>
    </w:p>
  </w:footnote>
  <w:footnote w:type="continuationSeparator" w:id="0">
    <w:p w:rsidR="00BF4529" w:rsidRDefault="00BF4529" w:rsidP="00DD77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D7770"/>
    <w:rsid w:val="00000801"/>
    <w:rsid w:val="00006A73"/>
    <w:rsid w:val="000228C6"/>
    <w:rsid w:val="000262AD"/>
    <w:rsid w:val="00056FB8"/>
    <w:rsid w:val="0006094C"/>
    <w:rsid w:val="000642C9"/>
    <w:rsid w:val="000747A6"/>
    <w:rsid w:val="000958A1"/>
    <w:rsid w:val="000E12BC"/>
    <w:rsid w:val="000E60B0"/>
    <w:rsid w:val="000F709E"/>
    <w:rsid w:val="0010749B"/>
    <w:rsid w:val="0012162E"/>
    <w:rsid w:val="00130E8F"/>
    <w:rsid w:val="00157851"/>
    <w:rsid w:val="001739F2"/>
    <w:rsid w:val="001740D9"/>
    <w:rsid w:val="00174835"/>
    <w:rsid w:val="001809DB"/>
    <w:rsid w:val="0018343A"/>
    <w:rsid w:val="0021398A"/>
    <w:rsid w:val="00215115"/>
    <w:rsid w:val="0022535B"/>
    <w:rsid w:val="002440DF"/>
    <w:rsid w:val="00247116"/>
    <w:rsid w:val="00263BD5"/>
    <w:rsid w:val="00264DE2"/>
    <w:rsid w:val="002651CE"/>
    <w:rsid w:val="00307E38"/>
    <w:rsid w:val="0034774E"/>
    <w:rsid w:val="00355B01"/>
    <w:rsid w:val="00363366"/>
    <w:rsid w:val="00371E90"/>
    <w:rsid w:val="003863AF"/>
    <w:rsid w:val="004351FC"/>
    <w:rsid w:val="00451166"/>
    <w:rsid w:val="00486512"/>
    <w:rsid w:val="004B212F"/>
    <w:rsid w:val="004C1DF5"/>
    <w:rsid w:val="004C65D8"/>
    <w:rsid w:val="004D248C"/>
    <w:rsid w:val="004E1B67"/>
    <w:rsid w:val="00522E36"/>
    <w:rsid w:val="005442FA"/>
    <w:rsid w:val="00551725"/>
    <w:rsid w:val="00557C65"/>
    <w:rsid w:val="00565FAE"/>
    <w:rsid w:val="005728D6"/>
    <w:rsid w:val="0058659A"/>
    <w:rsid w:val="00586A21"/>
    <w:rsid w:val="00595F9F"/>
    <w:rsid w:val="005B1644"/>
    <w:rsid w:val="00630B65"/>
    <w:rsid w:val="00641AFF"/>
    <w:rsid w:val="00646503"/>
    <w:rsid w:val="0066211D"/>
    <w:rsid w:val="00663D8A"/>
    <w:rsid w:val="00676245"/>
    <w:rsid w:val="006956F9"/>
    <w:rsid w:val="006B7A4B"/>
    <w:rsid w:val="0075767C"/>
    <w:rsid w:val="0079457E"/>
    <w:rsid w:val="007A53C4"/>
    <w:rsid w:val="00803E51"/>
    <w:rsid w:val="00804939"/>
    <w:rsid w:val="00812A21"/>
    <w:rsid w:val="0084109B"/>
    <w:rsid w:val="00845AE8"/>
    <w:rsid w:val="00876420"/>
    <w:rsid w:val="00890D14"/>
    <w:rsid w:val="008930A8"/>
    <w:rsid w:val="0089491D"/>
    <w:rsid w:val="008977CE"/>
    <w:rsid w:val="009053D1"/>
    <w:rsid w:val="00915779"/>
    <w:rsid w:val="00982309"/>
    <w:rsid w:val="009A6D40"/>
    <w:rsid w:val="009D02E0"/>
    <w:rsid w:val="00A55518"/>
    <w:rsid w:val="00AA067A"/>
    <w:rsid w:val="00AA2E37"/>
    <w:rsid w:val="00B1632A"/>
    <w:rsid w:val="00B41952"/>
    <w:rsid w:val="00BA2F4F"/>
    <w:rsid w:val="00BB3845"/>
    <w:rsid w:val="00BC6154"/>
    <w:rsid w:val="00BE3DC9"/>
    <w:rsid w:val="00BF4529"/>
    <w:rsid w:val="00C13F8A"/>
    <w:rsid w:val="00C6083C"/>
    <w:rsid w:val="00C65612"/>
    <w:rsid w:val="00C80DF3"/>
    <w:rsid w:val="00C84209"/>
    <w:rsid w:val="00CA7050"/>
    <w:rsid w:val="00CE1713"/>
    <w:rsid w:val="00CF0B82"/>
    <w:rsid w:val="00CF7D0E"/>
    <w:rsid w:val="00D279BB"/>
    <w:rsid w:val="00D5013F"/>
    <w:rsid w:val="00D525FE"/>
    <w:rsid w:val="00D70B65"/>
    <w:rsid w:val="00DA0200"/>
    <w:rsid w:val="00DA3143"/>
    <w:rsid w:val="00DA34BF"/>
    <w:rsid w:val="00DA797F"/>
    <w:rsid w:val="00DB1A2E"/>
    <w:rsid w:val="00DD0CE1"/>
    <w:rsid w:val="00DD7770"/>
    <w:rsid w:val="00DE3F01"/>
    <w:rsid w:val="00DE486F"/>
    <w:rsid w:val="00E00926"/>
    <w:rsid w:val="00E14A13"/>
    <w:rsid w:val="00E37A0E"/>
    <w:rsid w:val="00E665D1"/>
    <w:rsid w:val="00E710B7"/>
    <w:rsid w:val="00E77AD7"/>
    <w:rsid w:val="00EA7A5A"/>
    <w:rsid w:val="00EB4EF7"/>
    <w:rsid w:val="00EB5A0F"/>
    <w:rsid w:val="00EC449F"/>
    <w:rsid w:val="00F9694D"/>
    <w:rsid w:val="00FB0987"/>
    <w:rsid w:val="00FB3BFA"/>
    <w:rsid w:val="00FB5B79"/>
    <w:rsid w:val="00FE0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5:docId w15:val="{CB4D4446-FCCF-48F4-A59E-62500ACF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770"/>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777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D7770"/>
    <w:rPr>
      <w:sz w:val="18"/>
      <w:szCs w:val="18"/>
    </w:rPr>
  </w:style>
  <w:style w:type="paragraph" w:styleId="a5">
    <w:name w:val="footer"/>
    <w:basedOn w:val="a"/>
    <w:link w:val="a6"/>
    <w:uiPriority w:val="99"/>
    <w:unhideWhenUsed/>
    <w:rsid w:val="00DD777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D7770"/>
    <w:rPr>
      <w:sz w:val="18"/>
      <w:szCs w:val="18"/>
    </w:rPr>
  </w:style>
  <w:style w:type="paragraph" w:customStyle="1" w:styleId="Default">
    <w:name w:val="Default"/>
    <w:rsid w:val="00DD7770"/>
    <w:pPr>
      <w:widowControl w:val="0"/>
      <w:autoSpaceDE w:val="0"/>
      <w:autoSpaceDN w:val="0"/>
      <w:adjustRightInd w:val="0"/>
    </w:pPr>
    <w:rPr>
      <w:rFonts w:ascii="宋体" w:eastAsia="宋体" w:hAnsi="Times New Roman" w:cs="宋体"/>
      <w:color w:val="000000"/>
      <w:kern w:val="0"/>
      <w:sz w:val="24"/>
      <w:szCs w:val="24"/>
    </w:rPr>
  </w:style>
  <w:style w:type="paragraph" w:styleId="a7">
    <w:name w:val="Balloon Text"/>
    <w:basedOn w:val="a"/>
    <w:link w:val="a8"/>
    <w:uiPriority w:val="99"/>
    <w:semiHidden/>
    <w:unhideWhenUsed/>
    <w:rsid w:val="001739F2"/>
    <w:rPr>
      <w:sz w:val="18"/>
      <w:szCs w:val="18"/>
    </w:rPr>
  </w:style>
  <w:style w:type="character" w:customStyle="1" w:styleId="a8">
    <w:name w:val="批注框文本 字符"/>
    <w:basedOn w:val="a0"/>
    <w:link w:val="a7"/>
    <w:uiPriority w:val="99"/>
    <w:semiHidden/>
    <w:rsid w:val="001739F2"/>
    <w:rPr>
      <w:rFonts w:ascii="Calibri" w:eastAsia="宋体" w:hAnsi="Calibri" w:cs="黑体"/>
      <w:sz w:val="18"/>
      <w:szCs w:val="18"/>
    </w:rPr>
  </w:style>
  <w:style w:type="character" w:styleId="a9">
    <w:name w:val="annotation reference"/>
    <w:basedOn w:val="a0"/>
    <w:uiPriority w:val="99"/>
    <w:semiHidden/>
    <w:unhideWhenUsed/>
    <w:rsid w:val="0018343A"/>
    <w:rPr>
      <w:sz w:val="21"/>
      <w:szCs w:val="21"/>
    </w:rPr>
  </w:style>
  <w:style w:type="paragraph" w:styleId="aa">
    <w:name w:val="annotation text"/>
    <w:basedOn w:val="a"/>
    <w:link w:val="ab"/>
    <w:uiPriority w:val="99"/>
    <w:semiHidden/>
    <w:unhideWhenUsed/>
    <w:rsid w:val="0018343A"/>
    <w:pPr>
      <w:jc w:val="left"/>
    </w:pPr>
  </w:style>
  <w:style w:type="character" w:customStyle="1" w:styleId="ab">
    <w:name w:val="批注文字 字符"/>
    <w:basedOn w:val="a0"/>
    <w:link w:val="aa"/>
    <w:uiPriority w:val="99"/>
    <w:semiHidden/>
    <w:rsid w:val="0018343A"/>
    <w:rPr>
      <w:rFonts w:ascii="Calibri" w:eastAsia="宋体" w:hAnsi="Calibri" w:cs="黑体"/>
    </w:rPr>
  </w:style>
  <w:style w:type="paragraph" w:styleId="ac">
    <w:name w:val="annotation subject"/>
    <w:basedOn w:val="aa"/>
    <w:next w:val="aa"/>
    <w:link w:val="ad"/>
    <w:uiPriority w:val="99"/>
    <w:semiHidden/>
    <w:unhideWhenUsed/>
    <w:rsid w:val="0018343A"/>
    <w:rPr>
      <w:b/>
      <w:bCs/>
    </w:rPr>
  </w:style>
  <w:style w:type="character" w:customStyle="1" w:styleId="ad">
    <w:name w:val="批注主题 字符"/>
    <w:basedOn w:val="ab"/>
    <w:link w:val="ac"/>
    <w:uiPriority w:val="99"/>
    <w:semiHidden/>
    <w:rsid w:val="0018343A"/>
    <w:rPr>
      <w:rFonts w:ascii="Calibri" w:eastAsia="宋体" w:hAnsi="Calibri" w:cs="黑体"/>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71B01-AA45-433D-8D78-848DE06B4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5</Pages>
  <Words>2111</Words>
  <Characters>12038</Characters>
  <Application>Microsoft Office Word</Application>
  <DocSecurity>0</DocSecurity>
  <Lines>100</Lines>
  <Paragraphs>28</Paragraphs>
  <ScaleCrop>false</ScaleCrop>
  <Company/>
  <LinksUpToDate>false</LinksUpToDate>
  <CharactersWithSpaces>14121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养老金管理部-朱智慧</dc:creator>
  <cp:keywords/>
  <dc:description/>
  <cp:lastModifiedBy>机构业务运营部-王晶</cp:lastModifiedBy>
  <cp:revision>25</cp:revision>
  <cp:lastPrinted>2019-09-19T07:40:00Z</cp:lastPrinted>
  <dcterms:created xsi:type="dcterms:W3CDTF">2019-12-11T07:55:00Z</dcterms:created>
  <dcterms:modified xsi:type="dcterms:W3CDTF">2020-01-14T01:15:00Z</dcterms:modified>
</cp:coreProperties>
</file>